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charts/chart15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5.xml" ContentType="application/vnd.openxmlformats-officedocument.themeOverride+xml"/>
  <Override PartName="/word/charts/chart17.xml" ContentType="application/vnd.openxmlformats-officedocument.drawingml.chart+xml"/>
  <Override PartName="/word/theme/themeOverride16.xml" ContentType="application/vnd.openxmlformats-officedocument.themeOverride+xml"/>
  <Override PartName="/word/charts/chart18.xml" ContentType="application/vnd.openxmlformats-officedocument.drawingml.chart+xml"/>
  <Override PartName="/word/theme/themeOverride17.xml" ContentType="application/vnd.openxmlformats-officedocument.themeOverride+xml"/>
  <Override PartName="/word/charts/chart19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19.xml" ContentType="application/vnd.openxmlformats-officedocument.themeOverride+xml"/>
  <Override PartName="/word/charts/chart21.xml" ContentType="application/vnd.openxmlformats-officedocument.drawingml.chart+xml"/>
  <Override PartName="/word/theme/themeOverride20.xml" ContentType="application/vnd.openxmlformats-officedocument.themeOverride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3.xml" ContentType="application/vnd.openxmlformats-officedocument.drawingml.chart+xml"/>
  <Override PartName="/word/theme/themeOverride2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V w:val="single" w:sz="12" w:space="0" w:color="ED7D31"/>
        </w:tblBorders>
        <w:tblCellMar>
          <w:top w:w="1296" w:type="dxa"/>
          <w:left w:w="360" w:type="dxa"/>
          <w:bottom w:w="1296" w:type="dxa"/>
          <w:right w:w="360" w:type="dxa"/>
        </w:tblCellMar>
        <w:tblLook w:val="00A0" w:firstRow="1" w:lastRow="0" w:firstColumn="1" w:lastColumn="0" w:noHBand="0" w:noVBand="0"/>
      </w:tblPr>
      <w:tblGrid>
        <w:gridCol w:w="5320"/>
        <w:gridCol w:w="5039"/>
      </w:tblGrid>
      <w:tr w:rsidR="00234BF1" w:rsidRPr="00143665" w:rsidTr="00B84F50">
        <w:trPr>
          <w:jc w:val="center"/>
        </w:trPr>
        <w:tc>
          <w:tcPr>
            <w:tcW w:w="2568" w:type="pct"/>
            <w:vAlign w:val="center"/>
          </w:tcPr>
          <w:p w:rsidR="00234BF1" w:rsidRPr="00143665" w:rsidRDefault="00234BF1" w:rsidP="00B84F50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 wp14:anchorId="3EC4DE85" wp14:editId="219974D4">
                  <wp:extent cx="2664460" cy="3342005"/>
                  <wp:effectExtent l="0" t="0" r="2540" b="0"/>
                  <wp:docPr id="1" name="Рисунок 1" descr="Описание: C:\Users\user\Desktop\1398846639_tgq8dn4zxercokv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писание: C:\Users\user\Desktop\1398846639_tgq8dn4zxercokv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460" cy="334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BF1" w:rsidRPr="00143665" w:rsidRDefault="00234BF1" w:rsidP="00B84F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vAlign w:val="center"/>
          </w:tcPr>
          <w:p w:rsidR="00234BF1" w:rsidRPr="00143665" w:rsidRDefault="00234BF1" w:rsidP="00B84F50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6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</w:rPr>
              <w:t>итоговый отчет</w:t>
            </w:r>
          </w:p>
          <w:p w:rsidR="00234BF1" w:rsidRPr="00143665" w:rsidRDefault="00234BF1" w:rsidP="00B84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Управления образования администрации муниципального образования «Устьянский муниципальный район» архангельской области</w:t>
            </w:r>
          </w:p>
          <w:p w:rsidR="00234BF1" w:rsidRPr="00143665" w:rsidRDefault="00234BF1" w:rsidP="00B84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о результатах анализа состояния и перспектив развития системы образования за 201</w:t>
            </w:r>
            <w:r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8</w:t>
            </w:r>
            <w:r w:rsidRPr="00143665">
              <w:rPr>
                <w:rFonts w:ascii="Times New Roman" w:eastAsia="Times New Roman" w:hAnsi="Times New Roman" w:cs="Times New Roman"/>
                <w:caps/>
                <w:sz w:val="32"/>
                <w:szCs w:val="26"/>
                <w:lang w:eastAsia="ru-RU"/>
              </w:rPr>
              <w:t> год</w:t>
            </w:r>
          </w:p>
        </w:tc>
      </w:tr>
    </w:tbl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keepNext/>
        <w:keepLines/>
        <w:spacing w:before="120" w:after="120" w:line="259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6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  <w:bookmarkStart w:id="0" w:name="_GoBack"/>
      <w:bookmarkEnd w:id="0"/>
    </w:p>
    <w:p w:rsidR="00234BF1" w:rsidRPr="00143665" w:rsidRDefault="00234BF1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r w:rsidRPr="00143665">
        <w:rPr>
          <w:rFonts w:ascii="Times New Roman" w:eastAsia="Times New Roman" w:hAnsi="Times New Roman" w:cs="Times New Roman"/>
          <w:sz w:val="24"/>
        </w:rPr>
        <w:fldChar w:fldCharType="begin"/>
      </w:r>
      <w:r w:rsidRPr="00143665">
        <w:rPr>
          <w:rFonts w:ascii="Times New Roman" w:eastAsia="Times New Roman" w:hAnsi="Times New Roman" w:cs="Times New Roman"/>
          <w:sz w:val="24"/>
        </w:rPr>
        <w:instrText xml:space="preserve"> TOC \o "1-3" \h \z \u </w:instrText>
      </w:r>
      <w:r w:rsidRPr="00143665">
        <w:rPr>
          <w:rFonts w:ascii="Times New Roman" w:eastAsia="Times New Roman" w:hAnsi="Times New Roman" w:cs="Times New Roman"/>
          <w:sz w:val="24"/>
        </w:rPr>
        <w:fldChar w:fldCharType="separate"/>
      </w:r>
      <w:hyperlink w:anchor="_Toc498331656" w:history="1">
        <w:r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Перечень сокращений</w: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_Toc498331656 \h </w:instrTex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3</w:t>
        </w:r>
        <w:r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7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  <w:lang w:val="en-US"/>
          </w:rPr>
          <w:t>I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Анализ состояния и перспектив развития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_Toc498331657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ind w:left="240" w:hanging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8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 Вводная часть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_Toc498331658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ind w:left="1134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59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1.1. Аннотация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_Toc498331659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0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1.2. Ответственные за подготовку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_Toc498331660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4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1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1.3. Контакты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  <w:t>4</w:t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2" w:history="1">
        <w:r w:rsidR="00346045">
          <w:rPr>
            <w:rFonts w:ascii="Times New Roman" w:eastAsia="Times New Roman" w:hAnsi="Times New Roman" w:cs="Times New Roman"/>
            <w:noProof/>
            <w:sz w:val="24"/>
            <w:u w:val="single"/>
          </w:rPr>
          <w:t>1.4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Паспорт образовательной системы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_Toc498331662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5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3" w:history="1">
        <w:r w:rsidR="00346045">
          <w:rPr>
            <w:rFonts w:ascii="Times New Roman" w:eastAsia="Times New Roman" w:hAnsi="Times New Roman" w:cs="Times New Roman"/>
            <w:noProof/>
            <w:sz w:val="24"/>
            <w:u w:val="single"/>
          </w:rPr>
          <w:t>1.5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Особенности образовательной системы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9</w:t>
        </w:r>
      </w:hyperlink>
    </w:p>
    <w:p w:rsidR="00234BF1" w:rsidRPr="00143665" w:rsidRDefault="00D75B05" w:rsidP="00BF0301">
      <w:pPr>
        <w:tabs>
          <w:tab w:val="right" w:leader="dot" w:pos="9214"/>
          <w:tab w:val="left" w:pos="9639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4" w:history="1">
        <w:r w:rsidR="00BF0301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2.Анализ состояния и 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перспектив развития системы образования: основная </w:t>
        </w:r>
        <w:r w:rsidR="00D6388B">
          <w:rPr>
            <w:rFonts w:ascii="Times New Roman" w:eastAsia="Times New Roman" w:hAnsi="Times New Roman" w:cs="Times New Roman"/>
            <w:noProof/>
            <w:sz w:val="24"/>
            <w:u w:val="single"/>
          </w:rPr>
          <w:t xml:space="preserve">    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часть</w:t>
        </w:r>
        <w:r w:rsidR="00D6388B">
          <w:rPr>
            <w:rFonts w:ascii="Times New Roman" w:eastAsia="Times New Roman" w:hAnsi="Times New Roman" w:cs="Times New Roman"/>
            <w:noProof/>
            <w:sz w:val="24"/>
            <w:u w:val="single"/>
          </w:rPr>
          <w:t>…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…………………………………………………………………………</w:t>
        </w:r>
        <w:r w:rsidR="00BF0301">
          <w:rPr>
            <w:rFonts w:ascii="Times New Roman" w:eastAsia="Times New Roman" w:hAnsi="Times New Roman" w:cs="Times New Roman"/>
            <w:noProof/>
            <w:webHidden/>
            <w:sz w:val="24"/>
          </w:rPr>
          <w:t>…………………...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_Toc498331664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10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5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2.1. Сведения о развитии дошкольного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10</w:t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6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2.2. Сведения о развитии начального общего образования, основного общего образования и среднего общего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_Toc498331666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1</w:t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5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7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2.3. Сведения о развитии дополнительного образования детей и взрослых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…</w:t>
        </w:r>
        <w:r w:rsidR="00BF0301">
          <w:rPr>
            <w:rFonts w:ascii="Times New Roman" w:eastAsia="Times New Roman" w:hAnsi="Times New Roman" w:cs="Times New Roman"/>
            <w:noProof/>
            <w:webHidden/>
            <w:sz w:val="24"/>
          </w:rPr>
          <w:t>…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.25</w:t>
        </w:r>
      </w:hyperlink>
    </w:p>
    <w:p w:rsidR="00234BF1" w:rsidRPr="00143665" w:rsidRDefault="00803CD8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r w:rsidRPr="00F0145D">
        <w:rPr>
          <w:rFonts w:ascii="Times New Roman" w:hAnsi="Times New Roman" w:cs="Times New Roman"/>
          <w:sz w:val="24"/>
          <w:szCs w:val="24"/>
          <w:u w:val="single"/>
        </w:rPr>
        <w:t>2.4.</w:t>
      </w:r>
      <w:r w:rsidRPr="00803CD8">
        <w:rPr>
          <w:u w:val="single"/>
        </w:rPr>
        <w:t xml:space="preserve">  </w:t>
      </w:r>
      <w:hyperlink w:anchor="_Toc498331668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Сведения о создании условий социализации и самореализации молодежи (в том числе лиц, обучающихся по уровням и видам образования)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_Toc498331668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2</w:t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8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ind w:left="240" w:hanging="240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69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 Выводы и заключения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_Toc498331669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2</w:t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8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ind w:left="1134" w:firstLine="55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0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3.1. Выводы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begin"/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instrText xml:space="preserve"> PAGEREF _Toc498331670 \h </w:instrTex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separate"/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2</w:t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8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234BF1" w:rsidRPr="00143665" w:rsidRDefault="00D75B05" w:rsidP="00234BF1">
      <w:pPr>
        <w:tabs>
          <w:tab w:val="right" w:leader="dot" w:pos="9628"/>
        </w:tabs>
        <w:spacing w:after="100" w:line="360" w:lineRule="auto"/>
        <w:ind w:left="480" w:firstLine="709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1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3.2. Планы и перспективы развития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29</w:t>
        </w:r>
      </w:hyperlink>
    </w:p>
    <w:p w:rsidR="00234BF1" w:rsidRPr="00143665" w:rsidRDefault="00D75B05" w:rsidP="00BF0301">
      <w:pPr>
        <w:tabs>
          <w:tab w:val="right" w:leader="dot" w:pos="9628"/>
        </w:tabs>
        <w:spacing w:after="100" w:line="360" w:lineRule="auto"/>
        <w:jc w:val="both"/>
        <w:rPr>
          <w:rFonts w:ascii="Calibri" w:eastAsia="Times New Roman" w:hAnsi="Calibri" w:cs="Times New Roman"/>
          <w:noProof/>
          <w:lang w:eastAsia="ru-RU"/>
        </w:rPr>
      </w:pPr>
      <w:hyperlink w:anchor="_Toc498331672" w:history="1"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  <w:lang w:val="en-US"/>
          </w:rPr>
          <w:t>II</w:t>
        </w:r>
        <w:r w:rsidR="00234BF1" w:rsidRPr="00143665">
          <w:rPr>
            <w:rFonts w:ascii="Times New Roman" w:eastAsia="Times New Roman" w:hAnsi="Times New Roman" w:cs="Times New Roman"/>
            <w:noProof/>
            <w:sz w:val="24"/>
            <w:u w:val="single"/>
          </w:rPr>
          <w:t>. Показатели мониторинга системы образования</w:t>
        </w:r>
        <w:r w:rsidR="00234BF1" w:rsidRPr="00143665">
          <w:rPr>
            <w:rFonts w:ascii="Times New Roman" w:eastAsia="Times New Roman" w:hAnsi="Times New Roman" w:cs="Times New Roman"/>
            <w:noProof/>
            <w:webHidden/>
            <w:sz w:val="24"/>
          </w:rPr>
          <w:tab/>
          <w:t xml:space="preserve">  </w:t>
        </w:r>
        <w:r w:rsidR="00D6388B">
          <w:rPr>
            <w:rFonts w:ascii="Times New Roman" w:eastAsia="Times New Roman" w:hAnsi="Times New Roman" w:cs="Times New Roman"/>
            <w:noProof/>
            <w:webHidden/>
            <w:sz w:val="24"/>
          </w:rPr>
          <w:t>3</w:t>
        </w:r>
        <w:r w:rsidR="00F1724A">
          <w:rPr>
            <w:rFonts w:ascii="Times New Roman" w:eastAsia="Times New Roman" w:hAnsi="Times New Roman" w:cs="Times New Roman"/>
            <w:noProof/>
            <w:webHidden/>
            <w:sz w:val="24"/>
          </w:rPr>
          <w:t>0</w:t>
        </w:r>
      </w:hyperlink>
    </w:p>
    <w:p w:rsidR="00C70ECD" w:rsidRDefault="00234BF1" w:rsidP="00234BF1">
      <w:pPr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fldChar w:fldCharType="end"/>
      </w: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Default="00234BF1" w:rsidP="00234BF1">
      <w:pPr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keepNext/>
        <w:keepLines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Toc498331656"/>
      <w:r w:rsidRPr="0014366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Перечень сокращений</w:t>
      </w:r>
      <w:bookmarkEnd w:id="1"/>
    </w:p>
    <w:p w:rsidR="00234BF1" w:rsidRPr="00143665" w:rsidRDefault="00234BF1" w:rsidP="00234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6A6A6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068"/>
      </w:tblGrid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ВПР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Всероссийские проверочные работы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ГВЭ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Государственный выпускной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ЕГЭ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Единый государственный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КПК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Курс повышения квалификации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МСО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Мониторинг системы образования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ОГЭ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Основной государственный экзамен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ФГОС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Федеральный государственный образовательный стандарт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ФЗ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Федеральный закон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МБОУ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СМП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Субъекты среднего и малого предпринимательства</w:t>
            </w:r>
          </w:p>
        </w:tc>
      </w:tr>
      <w:tr w:rsidR="00234BF1" w:rsidRPr="00143665" w:rsidTr="00B84F50">
        <w:tc>
          <w:tcPr>
            <w:tcW w:w="1560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ОВЗ</w:t>
            </w:r>
          </w:p>
        </w:tc>
        <w:tc>
          <w:tcPr>
            <w:tcW w:w="8068" w:type="dxa"/>
          </w:tcPr>
          <w:p w:rsidR="00234BF1" w:rsidRPr="00143665" w:rsidRDefault="00234BF1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Ограниченные возможности здоровья</w:t>
            </w:r>
          </w:p>
        </w:tc>
      </w:tr>
    </w:tbl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bookmarkStart w:id="2" w:name="_Toc498331657"/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BF0301" w:rsidRDefault="00BF0301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D6388B" w:rsidRDefault="00D6388B" w:rsidP="00D6388B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D6388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66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143665">
        <w:rPr>
          <w:rFonts w:ascii="Times New Roman" w:eastAsia="Times New Roman" w:hAnsi="Times New Roman" w:cs="Times New Roman"/>
          <w:b/>
          <w:sz w:val="32"/>
          <w:szCs w:val="32"/>
        </w:rPr>
        <w:t>. Анализ состояния и перспектив развития системы образования</w:t>
      </w:r>
      <w:bookmarkEnd w:id="2"/>
    </w:p>
    <w:p w:rsidR="00234BF1" w:rsidRPr="00143665" w:rsidRDefault="00234BF1" w:rsidP="00D6388B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3" w:name="_Toc498331658"/>
      <w:r w:rsidRPr="00143665">
        <w:rPr>
          <w:rFonts w:ascii="Times New Roman" w:eastAsia="Times New Roman" w:hAnsi="Times New Roman" w:cs="Times New Roman"/>
          <w:b/>
          <w:sz w:val="28"/>
          <w:szCs w:val="26"/>
        </w:rPr>
        <w:t>1. Вводная часть</w:t>
      </w:r>
      <w:bookmarkEnd w:id="3"/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98331659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1.1. Аннотация</w:t>
      </w:r>
      <w:bookmarkEnd w:id="4"/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Итоговый отчет подготовлен в целях реализации  постановления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143665">
          <w:rPr>
            <w:rFonts w:ascii="Times New Roman" w:eastAsia="Times New Roman" w:hAnsi="Times New Roman" w:cs="Times New Roman"/>
            <w:sz w:val="24"/>
          </w:rPr>
          <w:t>2013 г</w:t>
        </w:r>
      </w:smartTag>
      <w:r w:rsidRPr="00143665">
        <w:rPr>
          <w:rFonts w:ascii="Times New Roman" w:eastAsia="Times New Roman" w:hAnsi="Times New Roman" w:cs="Times New Roman"/>
          <w:sz w:val="24"/>
        </w:rPr>
        <w:t xml:space="preserve">. N 662 "Об осуществлении мониторинга системы образования" и приказа  Министерства образования и науки Российской Федерации от 22 сентября 2017года N 955.  "Об утверждении показателей мониторинга системы образования", приказа Министерства образования и науки Российской Федерации от 11 июня 2014 года №657  «Об утверждении </w:t>
      </w:r>
      <w:proofErr w:type="gramStart"/>
      <w:r w:rsidRPr="00143665">
        <w:rPr>
          <w:rFonts w:ascii="Times New Roman" w:eastAsia="Times New Roman" w:hAnsi="Times New Roman" w:cs="Times New Roman"/>
          <w:sz w:val="24"/>
        </w:rPr>
        <w:t>методики расчета показателей мониторинга системы образования</w:t>
      </w:r>
      <w:proofErr w:type="gramEnd"/>
      <w:r w:rsidRPr="00143665">
        <w:rPr>
          <w:rFonts w:ascii="Times New Roman" w:eastAsia="Times New Roman" w:hAnsi="Times New Roman" w:cs="Times New Roman"/>
          <w:sz w:val="24"/>
        </w:rPr>
        <w:t>»</w:t>
      </w: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 ( с изменениями от 13 февраля 2017года. №129), приказа Министерства образования и науки Российской Федерации от 27 августа 2014 года №1146 « Об утверждении формы итогового отчета  о результатах анализа состояния и перспектив развития системы образования» </w:t>
      </w:r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665">
        <w:rPr>
          <w:rFonts w:ascii="Times New Roman" w:eastAsia="Times New Roman" w:hAnsi="Times New Roman" w:cs="Times New Roman"/>
          <w:sz w:val="24"/>
          <w:szCs w:val="24"/>
        </w:rPr>
        <w:t xml:space="preserve">Итоговый отчет подготовлен в целях обобщения и анализа информации о состоянии системы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  <w:szCs w:val="24"/>
        </w:rPr>
        <w:t xml:space="preserve"> района, основных показателей ее функционирования. Полученные данные будут являться основой  для осуществления оценок и прогнозирования тенденций развития, принятия обоснованных управленческих решений по достижению качественного образования.</w:t>
      </w:r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Toc498331660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подготовку</w:t>
      </w:r>
      <w:bookmarkEnd w:id="5"/>
    </w:p>
    <w:p w:rsidR="00234BF1" w:rsidRPr="00143665" w:rsidRDefault="00234BF1" w:rsidP="00234B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Отчет подготовлен Управлением образования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район». Общая координация работы осуществлялась начальником Управления образования. В подготовке отчета принимали участие специалисты Управления образования – отдел дошкольного, общего и дополнительного образования, отдел бюджетного планирования и экономического мониторинга. Отдельные данные, необходимые для подготовки отчета, были получены в отделе экономики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</w:t>
      </w:r>
    </w:p>
    <w:p w:rsidR="00234BF1" w:rsidRPr="00143665" w:rsidRDefault="00234BF1" w:rsidP="00234BF1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93143" wp14:editId="37638B1E">
                <wp:simplePos x="0" y="0"/>
                <wp:positionH relativeFrom="margin">
                  <wp:posOffset>-60960</wp:posOffset>
                </wp:positionH>
                <wp:positionV relativeFrom="paragraph">
                  <wp:posOffset>156845</wp:posOffset>
                </wp:positionV>
                <wp:extent cx="6215380" cy="2341880"/>
                <wp:effectExtent l="0" t="0" r="0" b="127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05" w:rsidRPr="004E39EB" w:rsidRDefault="00D75B05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Название: Управление образования администрации муниципального образования «</w:t>
                            </w:r>
                            <w:proofErr w:type="spellStart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Устьянский</w:t>
                            </w:r>
                            <w:proofErr w:type="spellEnd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муниципальный район»</w:t>
                            </w:r>
                          </w:p>
                          <w:p w:rsidR="00D75B05" w:rsidRPr="004E39EB" w:rsidRDefault="00D75B05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Адрес:165210 Архангельская область, </w:t>
                            </w:r>
                            <w:proofErr w:type="spellStart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Устьянский</w:t>
                            </w:r>
                            <w:proofErr w:type="spellEnd"/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район, поселок Октябрьский, улица Ленина, дом</w:t>
                            </w:r>
                            <w: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D75B05" w:rsidRPr="004E39EB" w:rsidRDefault="00D75B05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Руководитель:</w:t>
                            </w:r>
                            <w: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Сухоруков Николай Александрович</w:t>
                            </w:r>
                          </w:p>
                          <w:p w:rsidR="00D75B05" w:rsidRPr="004E39EB" w:rsidRDefault="00D75B05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Контактное лицо: Сухоруков Николай Александрович</w:t>
                            </w:r>
                          </w:p>
                          <w:p w:rsidR="00D75B05" w:rsidRPr="004E39EB" w:rsidRDefault="00D75B05" w:rsidP="00234BF1">
                            <w:pPr>
                              <w:spacing w:after="0"/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Телефон: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  <w:t>8(81855)51309</w:t>
                            </w:r>
                          </w:p>
                          <w:p w:rsidR="00D75B05" w:rsidRPr="004E39EB" w:rsidRDefault="00D75B05" w:rsidP="00234BF1">
                            <w:pPr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</w:rPr>
                              <w:t>Почта:</w:t>
                            </w:r>
                            <w:r w:rsidRPr="004E39EB">
                              <w:rPr>
                                <w:rStyle w:val="a6"/>
                                <w:rFonts w:eastAsiaTheme="minorHAnsi"/>
                                <w:sz w:val="24"/>
                                <w:szCs w:val="24"/>
                                <w:lang w:val="en-US"/>
                              </w:rPr>
                              <w:t>ustruo@mail.ru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9" o:spid="_x0000_s1026" type="#_x0000_t202" style="position:absolute;left:0;text-align:left;margin-left:-4.8pt;margin-top:12.35pt;width:489.4pt;height:18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/CkAIAABIFAAAOAAAAZHJzL2Uyb0RvYy54bWysVEtu2zAQ3RfoHQjuHX0iO5YQOYiduiiQ&#10;foC0B6BFyiJKkSxJW0qLnqWn6KpAz+AjdUjZjtMPUBTVgiI5w8eZeW94edW3Am2ZsVzJEidnMUZM&#10;VopyuS7xu7fL0RQj64ikRCjJSnzPLL6aPX1y2emCpapRgjKDAETaotMlbpzTRRTZqmEtsWdKMwnG&#10;WpmWOFiadUQN6QC9FVEax5OoU4ZqoypmLezeDEY8C/h1zSr3uq4tc0iUGGJzYTRhXPkxml2SYm2I&#10;bni1D4P8QxQt4RIuPULdEEfQxvBfoFpeGWVV7c4q1UaqrnnFQg6QTRL/lM1dQzQLuUBxrD6Wyf4/&#10;2OrV9o1BnJZ4nGMkSQsc7b7svu++7b4i2IL6dNoW4HanwdH1c9UDzyFXq29V9d4iqRYNkWt2bYzq&#10;GkYoxJf4k9HJ0QHHepBV91JRuIdsnApAfW1aXzwoBwJ04On+yA3rHapgc5Im4/MpmCqwpedZMoWF&#10;v4MUh+PaWPecqRb5SYkNkB/gyfbWusH14OJvs0pwuuRChIVZrxbCoC0BoSzDt0d/5Cakd5bKHxsQ&#10;hx2IEu7wNh9vIP5TnqRZPE/z0XIyvRhly2w8yi/i6ShO8nk+ibM8u1l+9gEmWdFwSpm85ZIdRJhk&#10;f0fyvh0G+QQZog6qdT6OB47+mGQcvt8l2XIHPSl4W+Lp0YkUntlnkkLapHCEi2EePQ4/EAI1OPxD&#10;VYIOPPWDCFy/6gHFi2Ol6D0owijgC7iFhwQmjTIfMeqgKUtsP2yIYRiJFxJUlSdZ5rs4LLLxRQoL&#10;c2pZnVqIrACqxA6jYbpwQ+dvtOHrBm4adCzVNSix5kEjD1Ht9QuNF5LZPxK+s0/XwevhKZv9AAAA&#10;//8DAFBLAwQUAAYACAAAACEAJi339d0AAAAJAQAADwAAAGRycy9kb3ducmV2LnhtbEyPwU7DMBBE&#10;70j8g7VI3FqnaQkkZFMhJK5ItKVnN17iiHgd2W6b9usxJziOZjTzpl5PdhAn8qF3jLCYZyCIW6d7&#10;7hB227fZE4gQFWs1OCaECwVYN7c3taq0O/MHnTaxE6mEQ6UQTIxjJWVoDVkV5m4kTt6X81bFJH0n&#10;tVfnVG4HmWdZIa3qOS0YNdKrofZ7c7QI+85e95+L0RtthxW/Xy/bnesR7++ml2cQkab4F4Zf/IQO&#10;TWI6uCPrIAaEWVmkJEK+egSR/LIocxAHhGW5fADZ1PL/g+YHAAD//wMAUEsBAi0AFAAGAAgAAAAh&#10;ALaDOJL+AAAA4QEAABMAAAAAAAAAAAAAAAAAAAAAAFtDb250ZW50X1R5cGVzXS54bWxQSwECLQAU&#10;AAYACAAAACEAOP0h/9YAAACUAQAACwAAAAAAAAAAAAAAAAAvAQAAX3JlbHMvLnJlbHNQSwECLQAU&#10;AAYACAAAACEAE3pPwpACAAASBQAADgAAAAAAAAAAAAAAAAAuAgAAZHJzL2Uyb0RvYy54bWxQSwEC&#10;LQAUAAYACAAAACEAJi339d0AAAAJAQAADwAAAAAAAAAAAAAAAADqBAAAZHJzL2Rvd25yZXYueG1s&#10;UEsFBgAAAAAEAAQA8wAAAPQFAAAAAA==&#10;" stroked="f" strokeweight=".5pt">
                <v:textbox>
                  <w:txbxContent>
                    <w:p w:rsidR="00D75B05" w:rsidRPr="004E39EB" w:rsidRDefault="00D75B05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Название: Управление образования администрации муниципального образования «</w:t>
                      </w:r>
                      <w:proofErr w:type="spellStart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Устьянский</w:t>
                      </w:r>
                      <w:proofErr w:type="spellEnd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муниципальный район»</w:t>
                      </w:r>
                    </w:p>
                    <w:p w:rsidR="00D75B05" w:rsidRPr="004E39EB" w:rsidRDefault="00D75B05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Адрес:165210 Архангельская область, </w:t>
                      </w:r>
                      <w:proofErr w:type="spellStart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Устьянский</w:t>
                      </w:r>
                      <w:proofErr w:type="spellEnd"/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район, поселок Октябрьский, улица Ленина, дом</w:t>
                      </w:r>
                      <w: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38</w:t>
                      </w:r>
                    </w:p>
                    <w:p w:rsidR="00D75B05" w:rsidRPr="004E39EB" w:rsidRDefault="00D75B05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Руководитель:</w:t>
                      </w:r>
                      <w: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 xml:space="preserve"> 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Сухоруков Николай Александрович</w:t>
                      </w:r>
                    </w:p>
                    <w:p w:rsidR="00D75B05" w:rsidRPr="004E39EB" w:rsidRDefault="00D75B05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Контактное лицо: Сухоруков Николай Александрович</w:t>
                      </w:r>
                    </w:p>
                    <w:p w:rsidR="00D75B05" w:rsidRPr="004E39EB" w:rsidRDefault="00D75B05" w:rsidP="00234BF1">
                      <w:pPr>
                        <w:spacing w:after="0"/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Телефон: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  <w:t>8(81855)51309</w:t>
                      </w:r>
                    </w:p>
                    <w:p w:rsidR="00D75B05" w:rsidRPr="004E39EB" w:rsidRDefault="00D75B05" w:rsidP="00234BF1">
                      <w:pPr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</w:pP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</w:rPr>
                        <w:t>Почта:</w:t>
                      </w:r>
                      <w:r w:rsidRPr="004E39EB">
                        <w:rPr>
                          <w:rStyle w:val="a6"/>
                          <w:rFonts w:eastAsiaTheme="minorHAnsi"/>
                          <w:sz w:val="24"/>
                          <w:szCs w:val="24"/>
                          <w:lang w:val="en-US"/>
                        </w:rPr>
                        <w:t>ustruo@mail.ru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1.3. Контакты</w:t>
      </w: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143665" w:rsidRDefault="00234BF1" w:rsidP="00234B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34BF1" w:rsidRPr="00346045" w:rsidRDefault="00234BF1" w:rsidP="00605473">
      <w:pPr>
        <w:spacing w:after="160" w:line="36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346045">
        <w:rPr>
          <w:rFonts w:ascii="Calibri" w:eastAsia="Times New Roman" w:hAnsi="Calibri" w:cs="Times New Roman"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F4285" wp14:editId="2FA7E0BA">
                <wp:simplePos x="0" y="0"/>
                <wp:positionH relativeFrom="margin">
                  <wp:posOffset>-3810</wp:posOffset>
                </wp:positionH>
                <wp:positionV relativeFrom="paragraph">
                  <wp:posOffset>3810</wp:posOffset>
                </wp:positionV>
                <wp:extent cx="6238875" cy="45085"/>
                <wp:effectExtent l="0" t="0" r="9525" b="0"/>
                <wp:wrapSquare wrapText="bothSides"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B05" w:rsidRPr="00996598" w:rsidRDefault="00D75B05" w:rsidP="00234BF1">
                            <w:pPr>
                              <w:rPr>
                                <w:rStyle w:val="a6"/>
                                <w:rFonts w:eastAsia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27" type="#_x0000_t202" style="position:absolute;left:0;text-align:left;margin-left:-.3pt;margin-top:.3pt;width:491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9PLkgIAABcFAAAOAAAAZHJzL2Uyb0RvYy54bWysVFuO0zAU/UdiD5b/O0k6SZtETUfTDkVI&#10;w0MaWIAbO42FYwfbbTIg1sIq+EJiDV0S107b6fCQECIfjh/X5z7OuZ5d9Y1AO6YNV7LA0UWIEZOl&#10;olxuCvzu7WqUYmQskZQIJVmB75nBV/OnT2Zdm7OxqpWgTCMAkSbv2gLX1rZ5EJiyZg0xF6plEg4r&#10;pRtiYak3AdWkA/RGBOMwnASd0rTVqmTGwO7NcIjnHr+qWGlfV5VhFokCQ2zWj9qPazcG8xnJN5q0&#10;NS8PYZB/iKIhXILTE9QNsQRtNf8FquGlVkZV9qJUTaCqipfM5wDZROFP2dzVpGU+FyiOaU9lMv8P&#10;tny1e6MRpwVOgClJGuBo/2X/ff9t/xXBFtSna00OZnctGNp+oXrg2edq2ltVvjdIqmVN5IZda626&#10;mhEK8UXuZnB2dcAxDmTdvVQU/JCtVR6or3TjigflQIAOPN2fuGG9RSVsTsaXaTpNMCrhLE7CNPEe&#10;SH683GpjnzPVIDcpsAbqPTjZ3RrrgiH50cT5MkpwuuJC+IXerJdCox0Bmaz8d0B/ZCakM5bKXRsQ&#10;hx2IEXy4Mxetp/1TFo3jcDHORqtJOh3FqzgZZdMwHYVRtsgmYZzFN6vPLsAozmtOKZO3XLKjBKP4&#10;7yg+NMMgHi9C1EGtLpNwYOiPSYb++12SDbfQkYI3BU5PRiR3vD6TFNImuSVcDPPgcfi+ylCD499X&#10;xavAET9IwPbr3gvOS8QpZK3oPchCK6ANuIfXBCa10h8x6qAzC2w+bIlmGIkXEqSVRXHsWtkv4mQ6&#10;hoU+P1mfnxBZAlSBLUbDdGmH9t+2mm9q8DSIWaprkGPFvVQeojqIGLrP53R4KVx7n6+91cN7Nv8B&#10;AAD//wMAUEsDBBQABgAIAAAAIQAF4of72AAAAAQBAAAPAAAAZHJzL2Rvd25yZXYueG1sTI5La8Mw&#10;EITvhf4HsYHeEtml5OF6HUqh10LzOiuWaplIKyMpiZNf3+2pvQwMM8x89Xr0TlxMTH0ghHJWgDDU&#10;Bt1Th7DbfkyXIFJWpJULZBBuJsG6eXyoVaXDlb7MZZM7wSOUKoVgcx4qKVNrjVdpFgZDnH2H6FVm&#10;Gzupo7ryuHfyuSjm0que+MGqwbxb0542Z49w6Pz9sC+HaLV3L/R5v213oUd8moxvryCyGfNfGX7x&#10;GR0aZjqGM+kkHMJ0zkUEVg5Xy3IF4oiwWIBsavkfvvkBAAD//wMAUEsBAi0AFAAGAAgAAAAhALaD&#10;OJL+AAAA4QEAABMAAAAAAAAAAAAAAAAAAAAAAFtDb250ZW50X1R5cGVzXS54bWxQSwECLQAUAAYA&#10;CAAAACEAOP0h/9YAAACUAQAACwAAAAAAAAAAAAAAAAAvAQAAX3JlbHMvLnJlbHNQSwECLQAUAAYA&#10;CAAAACEAIivTy5ICAAAXBQAADgAAAAAAAAAAAAAAAAAuAgAAZHJzL2Uyb0RvYy54bWxQSwECLQAU&#10;AAYACAAAACEABeKH+9gAAAAEAQAADwAAAAAAAAAAAAAAAADsBAAAZHJzL2Rvd25yZXYueG1sUEsF&#10;BgAAAAAEAAQA8wAAAPEFAAAAAA==&#10;" stroked="f" strokeweight=".5pt">
                <v:textbox>
                  <w:txbxContent>
                    <w:p w:rsidR="00D6388B" w:rsidRPr="00996598" w:rsidRDefault="00D6388B" w:rsidP="00234BF1">
                      <w:pPr>
                        <w:rPr>
                          <w:rStyle w:val="a6"/>
                          <w:rFonts w:eastAsia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6045">
        <w:rPr>
          <w:rFonts w:ascii="Times New Roman" w:eastAsia="Times New Roman" w:hAnsi="Times New Roman" w:cs="Times New Roman"/>
          <w:i/>
          <w:sz w:val="24"/>
          <w:u w:val="single"/>
        </w:rPr>
        <w:t>Источники данных</w:t>
      </w:r>
    </w:p>
    <w:p w:rsidR="00234BF1" w:rsidRPr="0034604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143665">
        <w:rPr>
          <w:rFonts w:ascii="Times New Roman" w:eastAsia="Times New Roman" w:hAnsi="Times New Roman" w:cs="Times New Roman"/>
          <w:sz w:val="24"/>
        </w:rPr>
        <w:lastRenderedPageBreak/>
        <w:t xml:space="preserve">Для анализа и построения на их основе выводов о состоянии системы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 использовались данные публичных  докладов, представляемых ежегодно Управлением образования, доклад главы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о результатах своей деятельности и деятельности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за 201</w:t>
      </w:r>
      <w:r>
        <w:rPr>
          <w:rFonts w:ascii="Times New Roman" w:eastAsia="Times New Roman" w:hAnsi="Times New Roman" w:cs="Times New Roman"/>
          <w:sz w:val="24"/>
        </w:rPr>
        <w:t>8</w:t>
      </w:r>
      <w:r w:rsidRPr="00143665">
        <w:rPr>
          <w:rFonts w:ascii="Times New Roman" w:eastAsia="Times New Roman" w:hAnsi="Times New Roman" w:cs="Times New Roman"/>
          <w:sz w:val="24"/>
        </w:rPr>
        <w:t xml:space="preserve"> год, формы федерального статистического наблюдения 85-К, ОО-1 и ОО-2, 1-ДО.</w:t>
      </w:r>
      <w:proofErr w:type="gramEnd"/>
      <w:r w:rsidRPr="00143665">
        <w:rPr>
          <w:rFonts w:ascii="Times New Roman" w:eastAsia="Times New Roman" w:hAnsi="Times New Roman" w:cs="Times New Roman"/>
          <w:sz w:val="24"/>
        </w:rPr>
        <w:t xml:space="preserve"> Также источником получения данных служили отчеты Управления образования по реализации Плана мероприятий («дорожной карты») «Изменения в отраслях социальной сферы, направленных на повышение эффективности образования в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районе»  и реализации муниципальной программы «Развитие образования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 на </w:t>
      </w:r>
      <w:r w:rsidRPr="00346045">
        <w:rPr>
          <w:rFonts w:ascii="Times New Roman" w:eastAsia="Times New Roman" w:hAnsi="Times New Roman" w:cs="Times New Roman"/>
          <w:sz w:val="24"/>
        </w:rPr>
        <w:t>2017-2019 годы».</w:t>
      </w:r>
    </w:p>
    <w:p w:rsidR="00234BF1" w:rsidRPr="00143665" w:rsidRDefault="00346045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498331662"/>
      <w:r>
        <w:rPr>
          <w:rFonts w:ascii="Times New Roman" w:eastAsia="Times New Roman" w:hAnsi="Times New Roman" w:cs="Times New Roman"/>
          <w:b/>
          <w:sz w:val="24"/>
          <w:szCs w:val="24"/>
        </w:rPr>
        <w:t>1.4</w:t>
      </w:r>
      <w:r w:rsidR="00234BF1" w:rsidRPr="00143665">
        <w:rPr>
          <w:rFonts w:ascii="Times New Roman" w:eastAsia="Times New Roman" w:hAnsi="Times New Roman" w:cs="Times New Roman"/>
          <w:b/>
          <w:sz w:val="24"/>
          <w:szCs w:val="24"/>
        </w:rPr>
        <w:t>. Паспорт образовательной системы</w:t>
      </w:r>
      <w:bookmarkEnd w:id="6"/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Образовательная политика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 является одним из наиболее эффективно </w:t>
      </w:r>
      <w:proofErr w:type="gramStart"/>
      <w:r w:rsidRPr="00143665">
        <w:rPr>
          <w:rFonts w:ascii="Times New Roman" w:eastAsia="Times New Roman" w:hAnsi="Times New Roman" w:cs="Times New Roman"/>
          <w:sz w:val="24"/>
        </w:rPr>
        <w:t>развивающихся</w:t>
      </w:r>
      <w:proofErr w:type="gramEnd"/>
      <w:r w:rsidRPr="00143665">
        <w:rPr>
          <w:rFonts w:ascii="Times New Roman" w:eastAsia="Times New Roman" w:hAnsi="Times New Roman" w:cs="Times New Roman"/>
          <w:sz w:val="24"/>
        </w:rPr>
        <w:t xml:space="preserve"> в Архангельской области.  Система образования  является динамичной, открытой к инновациям. 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Основными задачами, над которыми работали Управление образования и  образовательные организации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в 201</w:t>
      </w:r>
      <w:r w:rsidR="00D17995">
        <w:rPr>
          <w:rFonts w:ascii="Times New Roman" w:eastAsia="Times New Roman" w:hAnsi="Times New Roman" w:cs="Times New Roman"/>
          <w:sz w:val="24"/>
        </w:rPr>
        <w:t>8</w:t>
      </w:r>
      <w:r w:rsidRPr="00143665">
        <w:rPr>
          <w:rFonts w:ascii="Times New Roman" w:eastAsia="Times New Roman" w:hAnsi="Times New Roman" w:cs="Times New Roman"/>
          <w:sz w:val="24"/>
        </w:rPr>
        <w:t xml:space="preserve"> году являлись: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1. Обеспечить выполнение показателей эффективности и качества образовательных услуг, утвержденных Планом мероприятий («дорожной картой») «Изменения в отраслях социальной сферы, направленных на повышение эффективности образования в </w:t>
      </w:r>
      <w:proofErr w:type="spellStart"/>
      <w:r w:rsidRPr="00D17995">
        <w:rPr>
          <w:rFonts w:ascii="Times New Roman" w:eastAsia="Calibri" w:hAnsi="Times New Roman" w:cs="Times New Roman"/>
          <w:sz w:val="24"/>
          <w:szCs w:val="24"/>
        </w:rPr>
        <w:t>Устьянском</w:t>
      </w:r>
      <w:proofErr w:type="spellEnd"/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 районе».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2. Обеспечить выполнение мероприятий Программы «Развитие образования </w:t>
      </w:r>
      <w:proofErr w:type="spellStart"/>
      <w:r w:rsidRPr="00D17995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 района на 2017-2019 годы».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3. Обеспечить  доступность и качество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</w:t>
      </w:r>
      <w:proofErr w:type="spellStart"/>
      <w:r w:rsidRPr="00D17995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t>4. Создать условия  для предоставления качественного образования детям-инвалидам, детям с ограниченными возможностями здоровья, в том числе через реализацию адаптированных образовательных программ и организацию доступной среды.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t>5. Обновление содержания и форм организации образовательной деятельности в сфере дополнительного образования, ориентированного на содействие формированию у подрастающего поколения общественно-гражданской позиции, внедрение эффективных форм работы по выявлению и развитию одаренных детей.</w:t>
      </w:r>
    </w:p>
    <w:p w:rsidR="00D17995" w:rsidRPr="00D17995" w:rsidRDefault="00D17995" w:rsidP="0060547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95">
        <w:rPr>
          <w:rFonts w:ascii="Times New Roman" w:eastAsia="Calibri" w:hAnsi="Times New Roman" w:cs="Times New Roman"/>
          <w:sz w:val="24"/>
          <w:szCs w:val="24"/>
        </w:rPr>
        <w:lastRenderedPageBreak/>
        <w:t>6. Оптимизация муниципальной сети образовательных организаций и повышение эффективности финансово-хозяйственной деятельности образовательных организаций.</w:t>
      </w:r>
    </w:p>
    <w:p w:rsidR="00234BF1" w:rsidRDefault="00D17995" w:rsidP="00662579">
      <w:pPr>
        <w:spacing w:line="360" w:lineRule="auto"/>
        <w:jc w:val="both"/>
      </w:pPr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7. Создание условий для повышения качества образования в школах, имеющих низкие образовательные результаты, и в школах, работающих в сложных социальных условиях, путем участия в реализации </w:t>
      </w:r>
      <w:proofErr w:type="gramStart"/>
      <w:r w:rsidRPr="00D17995">
        <w:rPr>
          <w:rFonts w:ascii="Times New Roman" w:eastAsia="Calibri" w:hAnsi="Times New Roman" w:cs="Times New Roman"/>
          <w:sz w:val="24"/>
          <w:szCs w:val="24"/>
        </w:rPr>
        <w:t>мероприятий  Региональной программы повышения качества образования</w:t>
      </w:r>
      <w:proofErr w:type="gramEnd"/>
      <w:r w:rsidRPr="00D17995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организациях Архангельск</w:t>
      </w:r>
      <w:r w:rsidR="00605473">
        <w:rPr>
          <w:rFonts w:ascii="Times New Roman" w:eastAsia="Calibri" w:hAnsi="Times New Roman" w:cs="Times New Roman"/>
          <w:sz w:val="24"/>
          <w:szCs w:val="24"/>
        </w:rPr>
        <w:t>ой области на 2017-2020гг</w:t>
      </w:r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Инфраструктура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Управление в сфере образования осуществляется муниципальным органом управления образованием – Управление образования администрации муниципального образования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район».  В пределах своих полномочий Управлением образования осуществляется ведомственный контроль. </w:t>
      </w:r>
    </w:p>
    <w:p w:rsidR="00234BF1" w:rsidRPr="0014366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При организации работы Управление образования осуществляет взаимодействие с министерством образования и науки Архангельской области,  региональными институтами и организациями.</w:t>
      </w:r>
    </w:p>
    <w:p w:rsidR="00234BF1" w:rsidRPr="00143665" w:rsidRDefault="00234BF1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Общая характеристика сети образовательных организаций</w:t>
      </w:r>
    </w:p>
    <w:p w:rsidR="00234BF1" w:rsidRPr="00135A39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 xml:space="preserve">В 2018 году сеть образовательных организаций, подведомственных Управлению образования имеет следующую структуру: </w:t>
      </w:r>
    </w:p>
    <w:p w:rsidR="00234BF1" w:rsidRPr="00135A39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12 средних школ,  1 основная, 1 дошкольное образовательное учреждение 1 начальная школа – детский сад. Кроме того, в структуре этих учреждений находятся 6 основных школ, 1 начальная школа детский сад, 2 начальные школы, 2 учреждения дополнительного образования (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ДЮЦ, Октябрьская ДЮСШ)</w:t>
      </w:r>
    </w:p>
    <w:p w:rsidR="00234BF1" w:rsidRPr="00D1799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995">
        <w:rPr>
          <w:rFonts w:ascii="Times New Roman" w:eastAsia="Times New Roman" w:hAnsi="Times New Roman" w:cs="Times New Roman"/>
          <w:sz w:val="24"/>
        </w:rPr>
        <w:t>функцион</w:t>
      </w:r>
      <w:r w:rsidR="00D17995" w:rsidRPr="00D17995">
        <w:rPr>
          <w:rFonts w:ascii="Times New Roman" w:eastAsia="Times New Roman" w:hAnsi="Times New Roman" w:cs="Times New Roman"/>
          <w:sz w:val="24"/>
        </w:rPr>
        <w:t>ирует  55 групп продленного дня (</w:t>
      </w:r>
      <w:r w:rsidRPr="00D17995">
        <w:rPr>
          <w:rFonts w:ascii="Times New Roman" w:eastAsia="Times New Roman" w:hAnsi="Times New Roman" w:cs="Times New Roman"/>
          <w:sz w:val="24"/>
        </w:rPr>
        <w:t>1</w:t>
      </w:r>
      <w:r w:rsidR="00D17995" w:rsidRPr="00D17995">
        <w:rPr>
          <w:rFonts w:ascii="Times New Roman" w:eastAsia="Times New Roman" w:hAnsi="Times New Roman" w:cs="Times New Roman"/>
          <w:sz w:val="24"/>
        </w:rPr>
        <w:t>080</w:t>
      </w:r>
      <w:r w:rsidRPr="00D17995">
        <w:rPr>
          <w:rFonts w:ascii="Times New Roman" w:eastAsia="Times New Roman" w:hAnsi="Times New Roman" w:cs="Times New Roman"/>
          <w:sz w:val="24"/>
        </w:rPr>
        <w:t xml:space="preserve"> обучающихся) в 14 общеобразовательных учреждениях;</w:t>
      </w:r>
    </w:p>
    <w:p w:rsidR="00234BF1" w:rsidRPr="00D1799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995">
        <w:rPr>
          <w:rFonts w:ascii="Times New Roman" w:eastAsia="Times New Roman" w:hAnsi="Times New Roman" w:cs="Times New Roman"/>
          <w:sz w:val="24"/>
        </w:rPr>
        <w:t>функционирует 2  пришкольных  интерната</w:t>
      </w:r>
      <w:r w:rsidR="00D17995" w:rsidRPr="00D17995">
        <w:rPr>
          <w:rFonts w:ascii="Times New Roman" w:eastAsia="Times New Roman" w:hAnsi="Times New Roman" w:cs="Times New Roman"/>
          <w:sz w:val="24"/>
        </w:rPr>
        <w:t xml:space="preserve"> (МБОУ «</w:t>
      </w:r>
      <w:proofErr w:type="spellStart"/>
      <w:r w:rsidR="00D17995" w:rsidRPr="00D17995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="00D17995" w:rsidRPr="00D17995">
        <w:rPr>
          <w:rFonts w:ascii="Times New Roman" w:eastAsia="Times New Roman" w:hAnsi="Times New Roman" w:cs="Times New Roman"/>
          <w:sz w:val="24"/>
        </w:rPr>
        <w:t xml:space="preserve"> СОШ» и МБОУ «Ульяновская</w:t>
      </w:r>
      <w:r w:rsidR="00BF0301">
        <w:rPr>
          <w:rFonts w:ascii="Times New Roman" w:eastAsia="Times New Roman" w:hAnsi="Times New Roman" w:cs="Times New Roman"/>
          <w:sz w:val="24"/>
        </w:rPr>
        <w:t xml:space="preserve"> </w:t>
      </w:r>
      <w:r w:rsidR="00D17995" w:rsidRPr="00D17995">
        <w:rPr>
          <w:rFonts w:ascii="Times New Roman" w:eastAsia="Times New Roman" w:hAnsi="Times New Roman" w:cs="Times New Roman"/>
          <w:sz w:val="24"/>
        </w:rPr>
        <w:t>СОШ»</w:t>
      </w:r>
      <w:proofErr w:type="gramStart"/>
      <w:r w:rsidR="00D17995" w:rsidRPr="00D17995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="00D17995" w:rsidRPr="00D17995">
        <w:rPr>
          <w:rFonts w:ascii="Times New Roman" w:eastAsia="Times New Roman" w:hAnsi="Times New Roman" w:cs="Times New Roman"/>
          <w:sz w:val="24"/>
        </w:rPr>
        <w:t xml:space="preserve"> -</w:t>
      </w:r>
      <w:r w:rsidR="00AC57D4">
        <w:rPr>
          <w:rFonts w:ascii="Times New Roman" w:eastAsia="Times New Roman" w:hAnsi="Times New Roman" w:cs="Times New Roman"/>
          <w:sz w:val="24"/>
        </w:rPr>
        <w:t xml:space="preserve"> </w:t>
      </w:r>
      <w:r w:rsidRPr="00D17995">
        <w:rPr>
          <w:rFonts w:ascii="Times New Roman" w:eastAsia="Times New Roman" w:hAnsi="Times New Roman" w:cs="Times New Roman"/>
          <w:sz w:val="24"/>
        </w:rPr>
        <w:t>4</w:t>
      </w:r>
      <w:r w:rsidR="00D17995" w:rsidRPr="00D17995">
        <w:rPr>
          <w:rFonts w:ascii="Times New Roman" w:eastAsia="Times New Roman" w:hAnsi="Times New Roman" w:cs="Times New Roman"/>
          <w:sz w:val="24"/>
        </w:rPr>
        <w:t>0 обучающихся</w:t>
      </w:r>
      <w:r w:rsidRPr="00D17995">
        <w:rPr>
          <w:rFonts w:ascii="Times New Roman" w:eastAsia="Times New Roman" w:hAnsi="Times New Roman" w:cs="Times New Roman"/>
          <w:sz w:val="24"/>
        </w:rPr>
        <w:t>;</w:t>
      </w:r>
    </w:p>
    <w:p w:rsidR="00234BF1" w:rsidRPr="00D1799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995">
        <w:rPr>
          <w:rFonts w:ascii="Times New Roman" w:eastAsia="Times New Roman" w:hAnsi="Times New Roman" w:cs="Times New Roman"/>
          <w:sz w:val="24"/>
        </w:rPr>
        <w:t>организован бесплатный подвоз 8</w:t>
      </w:r>
      <w:r w:rsidR="00D17995" w:rsidRPr="00D17995">
        <w:rPr>
          <w:rFonts w:ascii="Times New Roman" w:eastAsia="Times New Roman" w:hAnsi="Times New Roman" w:cs="Times New Roman"/>
          <w:sz w:val="24"/>
        </w:rPr>
        <w:t>28</w:t>
      </w:r>
      <w:r w:rsidRPr="00D17995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17995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D17995">
        <w:rPr>
          <w:rFonts w:ascii="Times New Roman" w:eastAsia="Times New Roman" w:hAnsi="Times New Roman" w:cs="Times New Roman"/>
          <w:sz w:val="24"/>
        </w:rPr>
        <w:t xml:space="preserve"> в 9 ОУ. На балансе образовательных организаций 20 технические единицы 20</w:t>
      </w:r>
      <w:r w:rsidR="00D17995" w:rsidRPr="00D17995">
        <w:rPr>
          <w:rFonts w:ascii="Times New Roman" w:eastAsia="Times New Roman" w:hAnsi="Times New Roman" w:cs="Times New Roman"/>
          <w:sz w:val="24"/>
        </w:rPr>
        <w:t>11</w:t>
      </w:r>
      <w:r w:rsidRPr="00D17995">
        <w:rPr>
          <w:rFonts w:ascii="Times New Roman" w:eastAsia="Times New Roman" w:hAnsi="Times New Roman" w:cs="Times New Roman"/>
          <w:sz w:val="24"/>
        </w:rPr>
        <w:t xml:space="preserve"> -20</w:t>
      </w:r>
      <w:r w:rsidR="00D17995" w:rsidRPr="00D17995">
        <w:rPr>
          <w:rFonts w:ascii="Times New Roman" w:eastAsia="Times New Roman" w:hAnsi="Times New Roman" w:cs="Times New Roman"/>
          <w:sz w:val="24"/>
        </w:rPr>
        <w:t xml:space="preserve">19 </w:t>
      </w:r>
      <w:r w:rsidRPr="00D17995">
        <w:rPr>
          <w:rFonts w:ascii="Times New Roman" w:eastAsia="Times New Roman" w:hAnsi="Times New Roman" w:cs="Times New Roman"/>
          <w:sz w:val="24"/>
        </w:rPr>
        <w:t xml:space="preserve">года выпуска, которые осуществляют перевозку обучающихся по </w:t>
      </w:r>
      <w:r w:rsidR="00D17995" w:rsidRPr="00D17995">
        <w:rPr>
          <w:rFonts w:ascii="Times New Roman" w:eastAsia="Times New Roman" w:hAnsi="Times New Roman" w:cs="Times New Roman"/>
          <w:sz w:val="24"/>
        </w:rPr>
        <w:t>52</w:t>
      </w:r>
      <w:r w:rsidRPr="00D17995">
        <w:rPr>
          <w:rFonts w:ascii="Times New Roman" w:eastAsia="Times New Roman" w:hAnsi="Times New Roman" w:cs="Times New Roman"/>
          <w:sz w:val="24"/>
        </w:rPr>
        <w:t xml:space="preserve"> установленным маршрутам;</w:t>
      </w:r>
    </w:p>
    <w:p w:rsidR="00234BF1" w:rsidRPr="00D1799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995">
        <w:rPr>
          <w:rFonts w:ascii="Times New Roman" w:eastAsia="Times New Roman" w:hAnsi="Times New Roman" w:cs="Times New Roman"/>
          <w:sz w:val="24"/>
        </w:rPr>
        <w:t xml:space="preserve">организовано питание для детей, проживающих в пришкольных интернатах; </w:t>
      </w:r>
    </w:p>
    <w:p w:rsidR="00234BF1" w:rsidRPr="00135A39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 xml:space="preserve">в  образовательных организациях   организовано горячее   питание (за исключением 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Шурайской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начальной школы, в которой дети ходят на обед домой);</w:t>
      </w:r>
    </w:p>
    <w:p w:rsidR="00234BF1" w:rsidRPr="00135A39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>во всех общеобразовательных организациях созданы школьные спортивные клубы.</w:t>
      </w:r>
    </w:p>
    <w:p w:rsidR="00234BF1" w:rsidRPr="00D17995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17995">
        <w:rPr>
          <w:rFonts w:ascii="Times New Roman" w:eastAsia="Times New Roman" w:hAnsi="Times New Roman" w:cs="Times New Roman"/>
          <w:sz w:val="24"/>
        </w:rPr>
        <w:t>Общая численность работников (без совместителей) составляет  12</w:t>
      </w:r>
      <w:r w:rsidR="00D17995" w:rsidRPr="00D17995">
        <w:rPr>
          <w:rFonts w:ascii="Times New Roman" w:eastAsia="Times New Roman" w:hAnsi="Times New Roman" w:cs="Times New Roman"/>
          <w:sz w:val="24"/>
        </w:rPr>
        <w:t>42</w:t>
      </w:r>
      <w:r w:rsidRPr="00D17995">
        <w:rPr>
          <w:rFonts w:ascii="Times New Roman" w:eastAsia="Times New Roman" w:hAnsi="Times New Roman" w:cs="Times New Roman"/>
          <w:sz w:val="24"/>
        </w:rPr>
        <w:t xml:space="preserve"> человек</w:t>
      </w:r>
      <w:r w:rsidR="00BF0301">
        <w:rPr>
          <w:rFonts w:ascii="Times New Roman" w:eastAsia="Times New Roman" w:hAnsi="Times New Roman" w:cs="Times New Roman"/>
          <w:sz w:val="24"/>
        </w:rPr>
        <w:t>а</w:t>
      </w:r>
      <w:r w:rsidRPr="00D17995">
        <w:rPr>
          <w:rFonts w:ascii="Times New Roman" w:eastAsia="Times New Roman" w:hAnsi="Times New Roman" w:cs="Times New Roman"/>
          <w:sz w:val="24"/>
        </w:rPr>
        <w:t>.</w:t>
      </w:r>
    </w:p>
    <w:p w:rsidR="00234BF1" w:rsidRDefault="00234BF1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lastRenderedPageBreak/>
        <w:t>Кроме того, на территории района находится 3 учреждения дополнительного образования, подведомственных отделу культуры, спорта, туризма и молодежи администрации МО «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муниципальный район» - МБУ ДО «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детская школа искусств», МБУ </w:t>
      </w:r>
      <w:proofErr w:type="gramStart"/>
      <w:r w:rsidRPr="00135A39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135A39">
        <w:rPr>
          <w:rFonts w:ascii="Times New Roman" w:eastAsia="Times New Roman" w:hAnsi="Times New Roman" w:cs="Times New Roman"/>
          <w:sz w:val="24"/>
        </w:rPr>
        <w:t xml:space="preserve"> «</w:t>
      </w:r>
      <w:proofErr w:type="gramStart"/>
      <w:r w:rsidRPr="00135A39">
        <w:rPr>
          <w:rFonts w:ascii="Times New Roman" w:eastAsia="Times New Roman" w:hAnsi="Times New Roman" w:cs="Times New Roman"/>
          <w:sz w:val="24"/>
        </w:rPr>
        <w:t>Детская</w:t>
      </w:r>
      <w:proofErr w:type="gramEnd"/>
      <w:r w:rsidRPr="00135A39">
        <w:rPr>
          <w:rFonts w:ascii="Times New Roman" w:eastAsia="Times New Roman" w:hAnsi="Times New Roman" w:cs="Times New Roman"/>
          <w:sz w:val="24"/>
        </w:rPr>
        <w:t xml:space="preserve"> школа искусств «Радуга», МБУ ДО «</w:t>
      </w:r>
      <w:proofErr w:type="spellStart"/>
      <w:r w:rsidRPr="00135A39">
        <w:rPr>
          <w:rFonts w:ascii="Times New Roman" w:eastAsia="Times New Roman" w:hAnsi="Times New Roman" w:cs="Times New Roman"/>
          <w:sz w:val="24"/>
        </w:rPr>
        <w:t>Устьянская</w:t>
      </w:r>
      <w:proofErr w:type="spellEnd"/>
      <w:r w:rsidRPr="00135A39">
        <w:rPr>
          <w:rFonts w:ascii="Times New Roman" w:eastAsia="Times New Roman" w:hAnsi="Times New Roman" w:cs="Times New Roman"/>
          <w:sz w:val="24"/>
        </w:rPr>
        <w:t xml:space="preserve"> спортивная детско-юношеская школа».</w:t>
      </w:r>
    </w:p>
    <w:p w:rsidR="00AB74FE" w:rsidRDefault="00AB74FE" w:rsidP="00AB74FE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43665">
        <w:rPr>
          <w:rFonts w:ascii="Times New Roman" w:eastAsia="Times New Roman" w:hAnsi="Times New Roman" w:cs="Times New Roman"/>
          <w:i/>
          <w:iCs/>
          <w:sz w:val="24"/>
          <w:u w:val="single"/>
        </w:rPr>
        <w:t>Экономические характеристики</w:t>
      </w:r>
    </w:p>
    <w:p w:rsidR="00AB74FE" w:rsidRPr="00143665" w:rsidRDefault="00AB74FE" w:rsidP="00AB7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 находится на юге Архангельской области. С востока район граничит с Верхне-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Тоемским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Котласским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районами, с юга с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Тарногским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районом Вологодской области, с запада с Вельским, и с севера с Шенкурским и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Красноборским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районами. </w:t>
      </w:r>
    </w:p>
    <w:p w:rsidR="00AB74FE" w:rsidRPr="00143665" w:rsidRDefault="00AB74FE" w:rsidP="00AB7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Образован район в 1929 году и занимает территорию 10,7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тыс.кв.км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. </w:t>
      </w:r>
    </w:p>
    <w:p w:rsidR="00AB74FE" w:rsidRPr="00143665" w:rsidRDefault="00AB74FE" w:rsidP="00AB7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Административным районным центром с 1975 года является поселок Октябрьский.</w:t>
      </w:r>
    </w:p>
    <w:p w:rsidR="00AB74FE" w:rsidRPr="00143665" w:rsidRDefault="00AB74FE" w:rsidP="00AB74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Управление образования является отраслевым органом администрации МО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с правом юридического лица в сфере управления образованием на основании Положения (утверждено решением сессии Собрания депутатов МО «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муниципальный район» от 25 декабря 2015 года № 300).</w:t>
      </w:r>
    </w:p>
    <w:p w:rsidR="00AB74FE" w:rsidRDefault="00AB74FE" w:rsidP="00AB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территориального раздела Статистического регистра Росстата на 01 января  2019 года на территории района насчитывается </w:t>
      </w:r>
      <w:r w:rsidRPr="00AB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300</w:t>
      </w: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 и организаций и </w:t>
      </w:r>
      <w:r w:rsidRPr="00AB7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499</w:t>
      </w: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предпринимателя.</w:t>
      </w:r>
    </w:p>
    <w:p w:rsidR="00AB74FE" w:rsidRPr="00143665" w:rsidRDefault="00AB74FE" w:rsidP="00AB74F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43665">
        <w:rPr>
          <w:rFonts w:ascii="Times New Roman" w:eastAsia="Calibri" w:hAnsi="Times New Roman" w:cs="Times New Roman"/>
          <w:sz w:val="24"/>
          <w:szCs w:val="24"/>
          <w:lang w:eastAsia="ru-RU"/>
        </w:rPr>
        <w:t>Из них по экономическим видам деятельности:</w:t>
      </w:r>
    </w:p>
    <w:p w:rsidR="00AB74FE" w:rsidRPr="00143665" w:rsidRDefault="00AB74FE" w:rsidP="00AB74FE">
      <w:pPr>
        <w:widowControl w:val="0"/>
        <w:autoSpaceDE w:val="0"/>
        <w:autoSpaceDN w:val="0"/>
        <w:adjustRightInd w:val="0"/>
        <w:spacing w:after="326" w:line="1" w:lineRule="exact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tbl>
      <w:tblPr>
        <w:tblW w:w="97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1406"/>
        <w:gridCol w:w="1459"/>
        <w:gridCol w:w="1330"/>
        <w:gridCol w:w="1200"/>
      </w:tblGrid>
      <w:tr w:rsidR="00AB74FE" w:rsidRPr="00143665" w:rsidTr="00B84F50">
        <w:trPr>
          <w:trHeight w:hRule="exact" w:val="581"/>
        </w:trPr>
        <w:tc>
          <w:tcPr>
            <w:tcW w:w="43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отрасли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9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1436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(организаци</w:t>
            </w: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Pr="0014366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 w:right="19" w:firstLine="245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(+, - к </w:t>
            </w:r>
            <w:r w:rsidRPr="0014366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 w:rsidRPr="00143665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   %    к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AB74FE" w:rsidRPr="00143665" w:rsidTr="00B84F50">
        <w:trPr>
          <w:trHeight w:hRule="exact" w:val="283"/>
        </w:trPr>
        <w:tc>
          <w:tcPr>
            <w:tcW w:w="43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AB74FE" w:rsidRPr="00143665" w:rsidRDefault="00AB74FE" w:rsidP="00B8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AB74FE" w:rsidRPr="00143665" w:rsidTr="00B84F50">
        <w:trPr>
          <w:trHeight w:val="1002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AB74FE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24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74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  <w:r w:rsidRPr="00AB74FE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рыболовство и рыбоводство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77</w:t>
            </w:r>
            <w:r w:rsidR="000D4ED7">
              <w:rPr>
                <w:rFonts w:ascii="Arial" w:eastAsia="Calibri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AB74FE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74FE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B7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</w:t>
            </w:r>
            <w:r w:rsidR="000D4ED7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12%</w:t>
            </w:r>
          </w:p>
        </w:tc>
      </w:tr>
      <w:tr w:rsidR="00AB74FE" w:rsidRPr="00143665" w:rsidTr="00B84F50">
        <w:trPr>
          <w:trHeight w:hRule="exact" w:val="562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AB74FE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AB74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77%</w:t>
            </w: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93%</w:t>
            </w:r>
          </w:p>
        </w:tc>
      </w:tr>
      <w:tr w:rsidR="00AB74FE" w:rsidRPr="00143665" w:rsidTr="00AB74FE">
        <w:trPr>
          <w:trHeight w:hRule="exact" w:val="56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AB74FE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B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89%</w:t>
            </w:r>
          </w:p>
        </w:tc>
      </w:tr>
      <w:tr w:rsidR="00AB74FE" w:rsidRPr="00143665" w:rsidTr="00AB74FE">
        <w:trPr>
          <w:trHeight w:hRule="exact" w:val="837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B74FE" w:rsidRPr="00143665" w:rsidTr="00B84F50">
        <w:trPr>
          <w:trHeight w:hRule="exact" w:val="283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92%</w:t>
            </w: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40%</w:t>
            </w:r>
          </w:p>
        </w:tc>
      </w:tr>
      <w:tr w:rsidR="00AB74FE" w:rsidRPr="00143665" w:rsidTr="00B268DA">
        <w:trPr>
          <w:trHeight w:hRule="exact" w:val="58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75%</w:t>
            </w:r>
          </w:p>
        </w:tc>
      </w:tr>
      <w:tr w:rsidR="00AB74FE" w:rsidRPr="00143665" w:rsidTr="00B84F50">
        <w:trPr>
          <w:trHeight w:hRule="exact" w:val="840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управление и </w:t>
            </w: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обеспечение военной безопасности;</w:t>
            </w: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социальное обеспечение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95%</w:t>
            </w:r>
          </w:p>
        </w:tc>
      </w:tr>
      <w:tr w:rsidR="00AB74FE" w:rsidRPr="00143665" w:rsidTr="00B84F50">
        <w:trPr>
          <w:trHeight w:hRule="exact" w:val="288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B74FE" w:rsidRPr="00143665" w:rsidTr="00B268DA">
        <w:trPr>
          <w:trHeight w:hRule="exact" w:val="69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B268DA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0D4ED7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6D7A96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AB74FE" w:rsidRPr="00143665" w:rsidTr="00B84F50">
        <w:trPr>
          <w:trHeight w:hRule="exact" w:val="576"/>
        </w:trPr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B268DA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B268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прочих коммунальных услуг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AB74FE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43665">
              <w:rPr>
                <w:rFonts w:ascii="Arial" w:eastAsia="Calibri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940C92" w:rsidP="00940C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940C92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940C92">
              <w:rPr>
                <w:rFonts w:ascii="Arial" w:eastAsia="Calibri" w:hAnsi="Arial" w:cs="Arial"/>
                <w:sz w:val="20"/>
                <w:szCs w:val="20"/>
                <w:lang w:eastAsia="ru-RU"/>
              </w:rPr>
              <w:t>-4,7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4FE" w:rsidRPr="00143665" w:rsidRDefault="00940C92" w:rsidP="00B84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79%</w:t>
            </w:r>
          </w:p>
        </w:tc>
      </w:tr>
    </w:tbl>
    <w:p w:rsidR="00F35845" w:rsidRPr="00143665" w:rsidRDefault="00F35845" w:rsidP="00F35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35845" w:rsidRPr="00143665" w:rsidRDefault="00F35845" w:rsidP="00F35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4366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Предприятия по экономическим видам</w:t>
      </w:r>
    </w:p>
    <w:p w:rsidR="00940C92" w:rsidRDefault="00940C92" w:rsidP="00AB74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</w:p>
    <w:p w:rsidR="00940C92" w:rsidRDefault="00940C92" w:rsidP="00AB74F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A579B" wp14:editId="4C0FD330">
            <wp:extent cx="5940425" cy="3884006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5845" w:rsidRDefault="00F35845" w:rsidP="00803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 района представляют несколько отраслей: лесозаготовительная промышленность, промышленность по производству пищевых продуктов, агропромышленный комплекс, транспортная инфраструктура, связь, торговля. Такие отрасли, как лесная и лесоперерабатывающая промышленност</w:t>
      </w:r>
      <w:r w:rsidR="007A5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являются ведущими в районе. </w:t>
      </w:r>
    </w:p>
    <w:p w:rsidR="000D4ED7" w:rsidRPr="000D4ED7" w:rsidRDefault="000D4ED7" w:rsidP="00F3584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объем отгруженных 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«Обрабатывающие производства» в действующих ценах составил 6 775 663 тыс. рублей, что больше чем 2017 году  на 188,5% (2017 год объем составил 3 595</w:t>
      </w:r>
      <w:proofErr w:type="gramEnd"/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>228 тыс. рублей).</w:t>
      </w:r>
      <w:proofErr w:type="gramEnd"/>
    </w:p>
    <w:p w:rsidR="000D4ED7" w:rsidRPr="000D4ED7" w:rsidRDefault="000D4ED7" w:rsidP="00803C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Оборот розничной торговли и общественного питания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928 469 тыс. рублей, что в сопоставимых ценах на 4,4% ниже, чем за 2017 год. </w:t>
      </w:r>
      <w:proofErr w:type="gramStart"/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макроструктуре оборота розничной торговли организаций преобладающую долю занимают пищевые продукты, включая напитки, и табачные изделия – 72,9%.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20 057 тыс. рублей (на 11,5% меньше  уровня прошлого года).</w:t>
      </w:r>
      <w:proofErr w:type="gramEnd"/>
    </w:p>
    <w:p w:rsidR="00AB74FE" w:rsidRPr="00B84F50" w:rsidRDefault="000D4ED7" w:rsidP="00803CD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Услуги. </w:t>
      </w:r>
      <w:proofErr w:type="gramStart"/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платных услуг, оказанных населению района за 2018 год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</w:t>
      </w:r>
      <w:r w:rsidR="00B8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4E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216 005 тыс. рублей., </w:t>
      </w:r>
      <w:r w:rsidRPr="000D4ED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 сопоставимых ценах на 6,7% меньше уровня 2017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A5E31" w:rsidRPr="00AB74FE" w:rsidRDefault="00AB74FE" w:rsidP="007A5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Демографическая ситуация</w:t>
      </w:r>
    </w:p>
    <w:p w:rsidR="00AB74FE" w:rsidRPr="00AB74FE" w:rsidRDefault="00AB74FE" w:rsidP="00B84F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4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AB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1 января 2019 года на территории </w:t>
      </w:r>
      <w:proofErr w:type="spellStart"/>
      <w:r w:rsidRPr="00AB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Устьянского</w:t>
      </w:r>
      <w:proofErr w:type="spellEnd"/>
      <w:r w:rsidRPr="00AB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района проживает </w:t>
      </w:r>
      <w:r w:rsidRPr="00AB7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26 100</w:t>
      </w:r>
      <w:r w:rsidRPr="00AB74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постоянного населения (уменьшение на 506  человек).</w:t>
      </w:r>
    </w:p>
    <w:p w:rsidR="00AB74FE" w:rsidRPr="007A5E31" w:rsidRDefault="00AB74FE" w:rsidP="00AB74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Тенденция  ежегодного сокращения численности населения, причинами которого, в первую очередь, являются миграционный отток населения и опережающий рост смертности населения по сравнению с рождаемостью, остается акт</w:t>
      </w:r>
      <w:r w:rsidR="007A5E31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уальной для отчетного периода</w:t>
      </w:r>
      <w:r w:rsidR="00803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4FE" w:rsidRPr="00AB74FE" w:rsidRDefault="00AB74FE" w:rsidP="00BF0301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родилось 267 человек на 50 человек меньше, чем в аналогичный период 2017 года, умерло 493 человек на 33 больше, чем в аналогичный период 2017 года.</w:t>
      </w:r>
    </w:p>
    <w:p w:rsidR="00AB74FE" w:rsidRPr="00AB74FE" w:rsidRDefault="00AB74FE" w:rsidP="00BF03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Прибыло 1360 человек на 15 больше, чем в аналогичный период 2017 года. Убыло 1640 человека на 107 больше, чем в аналогичный период 2017 года. </w:t>
      </w:r>
    </w:p>
    <w:p w:rsidR="00D17995" w:rsidRPr="00143665" w:rsidRDefault="00D17995" w:rsidP="0060547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D17995" w:rsidRPr="00143665" w:rsidRDefault="00346045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498331663"/>
      <w:r>
        <w:rPr>
          <w:rFonts w:ascii="Times New Roman" w:eastAsia="Times New Roman" w:hAnsi="Times New Roman" w:cs="Times New Roman"/>
          <w:b/>
          <w:sz w:val="24"/>
          <w:szCs w:val="24"/>
        </w:rPr>
        <w:t>1.5</w:t>
      </w:r>
      <w:r w:rsidR="00D17995" w:rsidRPr="00143665">
        <w:rPr>
          <w:rFonts w:ascii="Times New Roman" w:eastAsia="Times New Roman" w:hAnsi="Times New Roman" w:cs="Times New Roman"/>
          <w:b/>
          <w:sz w:val="24"/>
          <w:szCs w:val="24"/>
        </w:rPr>
        <w:t>. Особенности образовательной системы</w:t>
      </w:r>
      <w:bookmarkEnd w:id="7"/>
    </w:p>
    <w:p w:rsidR="00D17995" w:rsidRPr="00143665" w:rsidRDefault="00D17995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17995" w:rsidRPr="00143665" w:rsidRDefault="00D17995" w:rsidP="00BF030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 xml:space="preserve">Отличительной особенностью работы образовательных организаций </w:t>
      </w:r>
      <w:proofErr w:type="spellStart"/>
      <w:r w:rsidRPr="0014366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43665">
        <w:rPr>
          <w:rFonts w:ascii="Times New Roman" w:eastAsia="Times New Roman" w:hAnsi="Times New Roman" w:cs="Times New Roman"/>
          <w:sz w:val="24"/>
        </w:rPr>
        <w:t xml:space="preserve"> района является принцип сетевого взаимодействия.  В целях эффективного взаимодействия в районе создано 4 базовые школы и 3 базовых детских сада, 2 информационно-ресурсных центра, образованы  школьные  и дошкольные образовательные округа. </w:t>
      </w:r>
    </w:p>
    <w:p w:rsidR="00D17995" w:rsidRPr="007A5E31" w:rsidRDefault="00D17995" w:rsidP="007A5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7365D"/>
          <w:sz w:val="24"/>
        </w:rPr>
      </w:pPr>
      <w:r w:rsidRPr="00143665">
        <w:rPr>
          <w:rFonts w:ascii="Times New Roman" w:eastAsia="Times New Roman" w:hAnsi="Times New Roman" w:cs="Times New Roman"/>
          <w:sz w:val="24"/>
        </w:rPr>
        <w:t>Руководители, педагоги образовательных организаций активно делятся опытом работы с коллегами из других районов на межрайонных семинарах, КПК.  На базе района проходят межрайонные  конференции и семинары</w:t>
      </w:r>
      <w:r w:rsidR="007A5E31">
        <w:rPr>
          <w:rFonts w:ascii="Times New Roman" w:eastAsia="Times New Roman" w:hAnsi="Times New Roman" w:cs="Times New Roman"/>
          <w:color w:val="17365D"/>
          <w:sz w:val="24"/>
        </w:rPr>
        <w:t>.</w:t>
      </w:r>
    </w:p>
    <w:p w:rsidR="00E76664" w:rsidRPr="00143665" w:rsidRDefault="00E76664" w:rsidP="00605473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8" w:name="_Toc498331664"/>
      <w:r w:rsidRPr="00143665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2. Анализ состояния и перспектив развития системы образования: основная часть.</w:t>
      </w:r>
      <w:bookmarkEnd w:id="8"/>
    </w:p>
    <w:p w:rsidR="00E76664" w:rsidRPr="00B84F50" w:rsidRDefault="00E76664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4F50">
        <w:rPr>
          <w:rFonts w:ascii="Times New Roman" w:eastAsia="Times New Roman" w:hAnsi="Times New Roman" w:cs="Times New Roman"/>
          <w:b/>
          <w:sz w:val="24"/>
          <w:szCs w:val="24"/>
        </w:rPr>
        <w:t xml:space="preserve">2.1. Сведения о развитии дошкольного образования </w:t>
      </w:r>
    </w:p>
    <w:p w:rsidR="00662579" w:rsidRPr="00B47E21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районе функционирует 34 детских сада. </w:t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B47E21">
        <w:rPr>
          <w:rFonts w:ascii="Times New Roman" w:eastAsia="Times New Roman" w:hAnsi="Times New Roman" w:cs="Times New Roman"/>
          <w:b/>
          <w:sz w:val="24"/>
        </w:rPr>
        <w:t>Кадровое обеспечение</w:t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>В системе дошкольного образования в 2018 году работало 214 педагогических работника, что на 10 человек меньше по сравнению с прошлым годом; младших воспитателей - 109 человек (на 5 человек меньше), поваров – 46 (на 4 человека меньше, чем в 2017 году).</w:t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 Специализация педагогических работников представлена на схеме.</w:t>
      </w:r>
    </w:p>
    <w:p w:rsidR="007A5E31" w:rsidRPr="007A5E31" w:rsidRDefault="00662579" w:rsidP="007A5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33F9353D" wp14:editId="7A7C36FB">
            <wp:extent cx="4886325" cy="2028825"/>
            <wp:effectExtent l="0" t="0" r="9525" b="952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3CD8" w:rsidRDefault="00803CD8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662579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b/>
          <w:bCs/>
          <w:sz w:val="24"/>
        </w:rPr>
        <w:t>Уровень квалификации</w:t>
      </w:r>
      <w:r w:rsidRPr="00B47E21">
        <w:rPr>
          <w:rFonts w:ascii="Times New Roman" w:eastAsia="Times New Roman" w:hAnsi="Times New Roman" w:cs="Times New Roman"/>
          <w:sz w:val="24"/>
        </w:rPr>
        <w:t>:</w:t>
      </w:r>
    </w:p>
    <w:p w:rsidR="00803CD8" w:rsidRPr="00B47E21" w:rsidRDefault="00803CD8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2374"/>
        <w:gridCol w:w="2372"/>
        <w:gridCol w:w="2372"/>
      </w:tblGrid>
      <w:tr w:rsidR="00662579" w:rsidRPr="00B47E21" w:rsidTr="00B84F50">
        <w:tc>
          <w:tcPr>
            <w:tcW w:w="239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662579" w:rsidRPr="00B47E21" w:rsidTr="00B84F50">
        <w:tc>
          <w:tcPr>
            <w:tcW w:w="239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 xml:space="preserve">Высшая категория  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10,7%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18%</w:t>
            </w:r>
          </w:p>
        </w:tc>
      </w:tr>
      <w:tr w:rsidR="00662579" w:rsidRPr="00B47E21" w:rsidTr="00B84F50">
        <w:tc>
          <w:tcPr>
            <w:tcW w:w="239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 xml:space="preserve">Первая категория   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38%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41%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42%</w:t>
            </w:r>
          </w:p>
        </w:tc>
      </w:tr>
      <w:tr w:rsidR="00662579" w:rsidRPr="00B47E21" w:rsidTr="00B84F50">
        <w:tc>
          <w:tcPr>
            <w:tcW w:w="239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СЗД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15%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28%</w:t>
            </w:r>
          </w:p>
        </w:tc>
        <w:tc>
          <w:tcPr>
            <w:tcW w:w="23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74%</w:t>
            </w:r>
          </w:p>
        </w:tc>
      </w:tr>
    </w:tbl>
    <w:p w:rsidR="00803CD8" w:rsidRDefault="00803CD8" w:rsidP="00803C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62579" w:rsidRPr="00B47E21" w:rsidRDefault="00662579" w:rsidP="00803CD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47E21">
        <w:rPr>
          <w:rFonts w:ascii="Times New Roman" w:eastAsia="Times New Roman" w:hAnsi="Times New Roman" w:cs="Times New Roman"/>
          <w:b/>
          <w:sz w:val="24"/>
        </w:rPr>
        <w:t xml:space="preserve">Средний размер заработной  платы воспитателей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750"/>
      </w:tblGrid>
      <w:tr w:rsidR="00662579" w:rsidRPr="00B47E21" w:rsidTr="00B84F50">
        <w:tc>
          <w:tcPr>
            <w:tcW w:w="4785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2016 г.</w:t>
            </w:r>
          </w:p>
        </w:tc>
        <w:tc>
          <w:tcPr>
            <w:tcW w:w="4786" w:type="dxa"/>
            <w:shd w:val="clear" w:color="auto" w:fill="auto"/>
          </w:tcPr>
          <w:p w:rsidR="00662579" w:rsidRPr="00B47E21" w:rsidRDefault="00662579" w:rsidP="007A5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27 955,90 (с МСП), 24 700,60 (без МСП)</w:t>
            </w:r>
          </w:p>
        </w:tc>
      </w:tr>
      <w:tr w:rsidR="00662579" w:rsidRPr="00B47E21" w:rsidTr="00B84F50">
        <w:tc>
          <w:tcPr>
            <w:tcW w:w="4785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2017 г.</w:t>
            </w:r>
          </w:p>
        </w:tc>
        <w:tc>
          <w:tcPr>
            <w:tcW w:w="4786" w:type="dxa"/>
            <w:shd w:val="clear" w:color="auto" w:fill="auto"/>
          </w:tcPr>
          <w:p w:rsidR="00662579" w:rsidRPr="00B47E21" w:rsidRDefault="00662579" w:rsidP="007A5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32133,50 (с МСП),  28 440 ,01 (без МСП)</w:t>
            </w:r>
          </w:p>
        </w:tc>
      </w:tr>
      <w:tr w:rsidR="00662579" w:rsidRPr="00B47E21" w:rsidTr="00B84F50">
        <w:tc>
          <w:tcPr>
            <w:tcW w:w="4785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2018 г.</w:t>
            </w:r>
          </w:p>
        </w:tc>
        <w:tc>
          <w:tcPr>
            <w:tcW w:w="4786" w:type="dxa"/>
            <w:shd w:val="clear" w:color="auto" w:fill="auto"/>
          </w:tcPr>
          <w:p w:rsidR="00662579" w:rsidRPr="00B47E21" w:rsidRDefault="00662579" w:rsidP="007A5E3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 xml:space="preserve">38147,00 (с МСП),  34461,20 (без МСП)                                                                                                                  </w:t>
            </w:r>
          </w:p>
        </w:tc>
      </w:tr>
    </w:tbl>
    <w:p w:rsidR="00662579" w:rsidRPr="00B47E21" w:rsidRDefault="00662579" w:rsidP="007A5E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lastRenderedPageBreak/>
        <w:t xml:space="preserve">     </w:t>
      </w:r>
      <w:r w:rsidRPr="00B47E21">
        <w:rPr>
          <w:rFonts w:ascii="Times New Roman" w:eastAsia="Times New Roman" w:hAnsi="Times New Roman" w:cs="Times New Roman"/>
          <w:sz w:val="24"/>
        </w:rPr>
        <w:tab/>
        <w:t>В структурах 13-ти  школ: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r w:rsidRPr="00B47E21">
        <w:rPr>
          <w:rFonts w:ascii="Times New Roman" w:eastAsia="Times New Roman" w:hAnsi="Times New Roman" w:cs="Times New Roman"/>
          <w:sz w:val="24"/>
        </w:rPr>
        <w:t xml:space="preserve"> ОСОШ №1</w:t>
      </w:r>
      <w:r w:rsidR="00B84F50">
        <w:rPr>
          <w:rFonts w:ascii="Times New Roman" w:eastAsia="Times New Roman" w:hAnsi="Times New Roman" w:cs="Times New Roman"/>
          <w:sz w:val="24"/>
        </w:rPr>
        <w:t>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>МБОУ «</w:t>
      </w:r>
      <w:r w:rsidRPr="00B47E21">
        <w:rPr>
          <w:rFonts w:ascii="Times New Roman" w:eastAsia="Times New Roman" w:hAnsi="Times New Roman" w:cs="Times New Roman"/>
          <w:sz w:val="24"/>
        </w:rPr>
        <w:t>ОСОШ №2</w:t>
      </w:r>
      <w:r w:rsidR="00B84F50">
        <w:rPr>
          <w:rFonts w:ascii="Times New Roman" w:eastAsia="Times New Roman" w:hAnsi="Times New Roman" w:cs="Times New Roman"/>
          <w:sz w:val="24"/>
        </w:rPr>
        <w:t>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>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Бестужевск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>МБОУ «</w:t>
      </w:r>
      <w:r w:rsidRPr="00B47E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Березницк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ОГ»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>МБОУ «</w:t>
      </w:r>
      <w:r w:rsidRPr="00B47E21">
        <w:rPr>
          <w:rFonts w:ascii="Times New Roman" w:eastAsia="Times New Roman" w:hAnsi="Times New Roman" w:cs="Times New Roman"/>
          <w:sz w:val="24"/>
        </w:rPr>
        <w:t>Дмитриевск</w:t>
      </w:r>
      <w:r w:rsidR="00B84F50">
        <w:rPr>
          <w:rFonts w:ascii="Times New Roman" w:eastAsia="Times New Roman" w:hAnsi="Times New Roman" w:cs="Times New Roman"/>
          <w:sz w:val="24"/>
        </w:rPr>
        <w:t>ая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Илезск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="00B84F50">
        <w:rPr>
          <w:rFonts w:ascii="Times New Roman" w:eastAsia="Times New Roman" w:hAnsi="Times New Roman" w:cs="Times New Roman"/>
          <w:sz w:val="24"/>
        </w:rPr>
        <w:t>Киземская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r w:rsidRPr="00B47E2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Лойгинск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Малодорск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Строевск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 </w:t>
      </w:r>
      <w:r w:rsidR="00B84F50">
        <w:rPr>
          <w:rFonts w:ascii="Times New Roman" w:eastAsia="Times New Roman" w:hAnsi="Times New Roman" w:cs="Times New Roman"/>
          <w:sz w:val="24"/>
        </w:rPr>
        <w:t>МБОУ «</w:t>
      </w:r>
      <w:r w:rsidRPr="00B47E21">
        <w:rPr>
          <w:rFonts w:ascii="Times New Roman" w:eastAsia="Times New Roman" w:hAnsi="Times New Roman" w:cs="Times New Roman"/>
          <w:sz w:val="24"/>
        </w:rPr>
        <w:t>Ульяновск</w:t>
      </w:r>
      <w:r w:rsidR="00B84F50">
        <w:rPr>
          <w:rFonts w:ascii="Times New Roman" w:eastAsia="Times New Roman" w:hAnsi="Times New Roman" w:cs="Times New Roman"/>
          <w:sz w:val="24"/>
        </w:rPr>
        <w:t>ая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</w:t>
      </w:r>
      <w:r w:rsidR="00B84F50">
        <w:rPr>
          <w:rFonts w:ascii="Times New Roman" w:eastAsia="Times New Roman" w:hAnsi="Times New Roman" w:cs="Times New Roman"/>
          <w:sz w:val="24"/>
        </w:rPr>
        <w:t>ая</w:t>
      </w:r>
      <w:proofErr w:type="spellEnd"/>
      <w:r w:rsidR="00B84F50">
        <w:rPr>
          <w:rFonts w:ascii="Times New Roman" w:eastAsia="Times New Roman" w:hAnsi="Times New Roman" w:cs="Times New Roman"/>
          <w:sz w:val="24"/>
        </w:rPr>
        <w:t xml:space="preserve"> СОШ»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,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«</w:t>
      </w:r>
      <w:r w:rsidRPr="00B47E21">
        <w:rPr>
          <w:rFonts w:ascii="Times New Roman" w:eastAsia="Times New Roman" w:hAnsi="Times New Roman" w:cs="Times New Roman"/>
          <w:sz w:val="24"/>
        </w:rPr>
        <w:t>Синицк</w:t>
      </w:r>
      <w:r w:rsidR="00B84F50">
        <w:rPr>
          <w:rFonts w:ascii="Times New Roman" w:eastAsia="Times New Roman" w:hAnsi="Times New Roman" w:cs="Times New Roman"/>
          <w:sz w:val="24"/>
        </w:rPr>
        <w:t>ая ООШ»</w:t>
      </w:r>
      <w:r w:rsidRPr="00B47E21">
        <w:rPr>
          <w:rFonts w:ascii="Times New Roman" w:eastAsia="Times New Roman" w:hAnsi="Times New Roman" w:cs="Times New Roman"/>
          <w:sz w:val="24"/>
        </w:rPr>
        <w:t xml:space="preserve"> находятся  32 детских сада; юридическими лицами остаются 2 дошкольных учреждения:  МБОУ «Начальная школа – детский сад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М.Монтесори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>»,  МБДОУ  «Центр развития ребёнка - детский сад «Аленушка».</w:t>
      </w:r>
    </w:p>
    <w:p w:rsidR="007A5E31" w:rsidRPr="002B0D9B" w:rsidRDefault="00662579" w:rsidP="002B0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>В 2018 году продолжена работа по предоставлению услуги 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     на территории   Муниципального образования "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муниципальный район" через  единый портал государс</w:t>
      </w:r>
      <w:r w:rsidR="002B0D9B">
        <w:rPr>
          <w:rFonts w:ascii="Times New Roman" w:eastAsia="Times New Roman" w:hAnsi="Times New Roman" w:cs="Times New Roman"/>
          <w:sz w:val="24"/>
        </w:rPr>
        <w:t xml:space="preserve">твенных услуг в сети Интернет. </w:t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B47E21">
        <w:rPr>
          <w:rFonts w:ascii="Times New Roman" w:eastAsia="Times New Roman" w:hAnsi="Times New Roman" w:cs="Times New Roman"/>
          <w:b/>
          <w:sz w:val="24"/>
        </w:rPr>
        <w:t>Количество поданных заявлений в 2018 году</w:t>
      </w: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662579" w:rsidRPr="00B47E21" w:rsidTr="00B84F50">
        <w:trPr>
          <w:trHeight w:val="229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2579" w:rsidRPr="00B47E21" w:rsidTr="00B84F50">
        <w:trPr>
          <w:trHeight w:val="76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gramStart"/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Поданные</w:t>
            </w:r>
            <w:proofErr w:type="gramEnd"/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через портал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gramStart"/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Поданные</w:t>
            </w:r>
            <w:proofErr w:type="gramEnd"/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через комиссию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Поданные через МФЦ</w:t>
            </w:r>
          </w:p>
        </w:tc>
        <w:tc>
          <w:tcPr>
            <w:tcW w:w="2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Всего</w:t>
            </w:r>
          </w:p>
        </w:tc>
      </w:tr>
      <w:tr w:rsidR="00662579" w:rsidRPr="00B47E21" w:rsidTr="00B84F50">
        <w:trPr>
          <w:trHeight w:val="229"/>
        </w:trPr>
        <w:tc>
          <w:tcPr>
            <w:tcW w:w="23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432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504</w:t>
            </w:r>
          </w:p>
        </w:tc>
      </w:tr>
      <w:tr w:rsidR="00662579" w:rsidRPr="00B47E21" w:rsidTr="00B84F50">
        <w:trPr>
          <w:trHeight w:val="229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A5E31" w:rsidRPr="00B47E21" w:rsidRDefault="00662579" w:rsidP="002B0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>Учет детей, подлежащих зачислению в дошкольные учреждения,    ведется через ГИС «Комплектование ДОУ».  В очереди в детские сады на сегодняшний день стоит 229  детей, большинство из которых это малыши до 1,5 лет. Услугу  дошкольного  образования получают  1658 воспитанников в возрасте от полутора до семи лет. Наблюдается резкое уменьшение количества детей в сельской местности. За последние два года не было сокращения количества детских садов, но был осуществлён  перевод детского сада «Непоседы» филиала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Бестужевская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СОШ» в здание 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Квазеньгской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 основной школы.</w:t>
      </w:r>
    </w:p>
    <w:p w:rsidR="00662579" w:rsidRPr="00B47E21" w:rsidRDefault="007A5E31" w:rsidP="007A5E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EC65798" wp14:editId="3A1B16D2">
            <wp:extent cx="5667375" cy="153352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2579" w:rsidRPr="00B84F50" w:rsidRDefault="00662579" w:rsidP="00803C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>В связи с сокращением количества детей на территории МО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муниципальны</w:t>
      </w:r>
      <w:r w:rsidR="00BF0301">
        <w:rPr>
          <w:rFonts w:ascii="Times New Roman" w:eastAsia="Times New Roman" w:hAnsi="Times New Roman" w:cs="Times New Roman"/>
          <w:sz w:val="24"/>
        </w:rPr>
        <w:t xml:space="preserve">й район» в период 2018  года в </w:t>
      </w:r>
      <w:r w:rsidRPr="00B47E21">
        <w:rPr>
          <w:rFonts w:ascii="Times New Roman" w:eastAsia="Times New Roman" w:hAnsi="Times New Roman" w:cs="Times New Roman"/>
          <w:sz w:val="24"/>
        </w:rPr>
        <w:t xml:space="preserve"> сельских детских садах продолжена  работа по оптимизации сети групп: количество функционирующих групп уменьшилось в д/с «Радуга» СП 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</w:t>
      </w:r>
      <w:r w:rsidRPr="00B47E21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Малодорская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СОШ» и в д/с «Улыбка»</w:t>
      </w:r>
      <w:r w:rsidR="00B84F50">
        <w:rPr>
          <w:rFonts w:ascii="Times New Roman" w:eastAsia="Times New Roman" w:hAnsi="Times New Roman" w:cs="Times New Roman"/>
          <w:sz w:val="24"/>
        </w:rPr>
        <w:t xml:space="preserve"> МБОУ </w:t>
      </w:r>
      <w:r w:rsidRPr="00B47E21">
        <w:rPr>
          <w:rFonts w:ascii="Times New Roman" w:eastAsia="Times New Roman" w:hAnsi="Times New Roman" w:cs="Times New Roman"/>
          <w:sz w:val="24"/>
        </w:rPr>
        <w:t xml:space="preserve">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Строевская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 СОШ».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409"/>
        <w:gridCol w:w="1525"/>
      </w:tblGrid>
      <w:tr w:rsidR="00662579" w:rsidRPr="00B47E21" w:rsidTr="00B84F50">
        <w:tc>
          <w:tcPr>
            <w:tcW w:w="5637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525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662579" w:rsidRPr="00B47E21" w:rsidTr="00B84F50">
        <w:tc>
          <w:tcPr>
            <w:tcW w:w="5637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Количество ДОУ, где сокращены группы</w:t>
            </w:r>
          </w:p>
        </w:tc>
        <w:tc>
          <w:tcPr>
            <w:tcW w:w="2409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803CD8" w:rsidRDefault="00803CD8" w:rsidP="00803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62579" w:rsidRPr="00B47E21" w:rsidRDefault="00662579" w:rsidP="00803CD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Отличительной чертой системы дошкольного образования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района является обеспечение местами в дошкольных образовательных организациях всех детей в возрасте от 1,5 до 7 лет. Исключение составляют отдаленные населенные пункты, где нет возможности организовать работу детского сада (п.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Шурай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, д. Бородинская,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д</w:t>
      </w:r>
      <w:proofErr w:type="gramStart"/>
      <w:r w:rsidRPr="00B47E21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Pr="00B47E21">
        <w:rPr>
          <w:rFonts w:ascii="Times New Roman" w:eastAsia="Times New Roman" w:hAnsi="Times New Roman" w:cs="Times New Roman"/>
          <w:sz w:val="24"/>
        </w:rPr>
        <w:t>арютинская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).  Общая численность таких детей составляет 10 человек. Данной категории семей осуществляются ежемесячные выплаты  из регионального бюджета в размере 2000 рублей. </w:t>
      </w:r>
    </w:p>
    <w:p w:rsidR="00662579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Для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района остается невостребованным открытие частных детских садов, так как имеется возможность  определения всех желающих в муниципальные дошкольные образовательные организации. Охват детей дошкольными образовательными организациями в возрасте от 1,5 до 7 лет в 2018 году составил 98 %. </w:t>
      </w:r>
    </w:p>
    <w:p w:rsidR="007A5E31" w:rsidRPr="00B47E21" w:rsidRDefault="007A5E31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57E2989" wp14:editId="140C4723">
            <wp:extent cx="5505450" cy="2543175"/>
            <wp:effectExtent l="0" t="0" r="19050" b="952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2579" w:rsidRPr="00B47E21" w:rsidRDefault="00662579" w:rsidP="00803C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B47E21" w:rsidRDefault="00662579" w:rsidP="002B0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       Не уменьшается количество  детей с особыми возможностями здоровья, </w:t>
      </w:r>
      <w:r w:rsidR="002B0D9B">
        <w:rPr>
          <w:rFonts w:ascii="Times New Roman" w:eastAsia="Times New Roman" w:hAnsi="Times New Roman" w:cs="Times New Roman"/>
          <w:sz w:val="24"/>
        </w:rPr>
        <w:t xml:space="preserve">в основном с нарушениями речи.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0"/>
        <w:gridCol w:w="2052"/>
        <w:gridCol w:w="5233"/>
      </w:tblGrid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sz w:val="24"/>
              </w:rPr>
              <w:t>Дети-инвалиды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b/>
                <w:sz w:val="24"/>
              </w:rPr>
              <w:t>Дети с ограниченными возможностями здоровья</w:t>
            </w:r>
          </w:p>
        </w:tc>
      </w:tr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 xml:space="preserve">214 в </w:t>
            </w:r>
            <w:proofErr w:type="spellStart"/>
            <w:r w:rsidRPr="00B47E21"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 w:rsidRPr="00B47E21">
              <w:rPr>
                <w:rFonts w:ascii="Times New Roman" w:eastAsia="Times New Roman" w:hAnsi="Times New Roman" w:cs="Times New Roman"/>
                <w:sz w:val="24"/>
              </w:rPr>
              <w:t>.   через ПМПК</w:t>
            </w:r>
          </w:p>
        </w:tc>
      </w:tr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230</w:t>
            </w:r>
          </w:p>
        </w:tc>
      </w:tr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267</w:t>
            </w:r>
          </w:p>
        </w:tc>
      </w:tr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236</w:t>
            </w:r>
          </w:p>
        </w:tc>
      </w:tr>
      <w:tr w:rsidR="00662579" w:rsidRPr="00B47E21" w:rsidTr="00B84F50">
        <w:tc>
          <w:tcPr>
            <w:tcW w:w="1850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2052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23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238</w:t>
            </w:r>
          </w:p>
        </w:tc>
      </w:tr>
    </w:tbl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DBA7904" wp14:editId="65C15363">
            <wp:extent cx="5381625" cy="1781175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B47E21">
        <w:rPr>
          <w:rFonts w:ascii="Times New Roman" w:eastAsia="Times New Roman" w:hAnsi="Times New Roman" w:cs="Times New Roman"/>
          <w:sz w:val="24"/>
        </w:rPr>
        <w:tab/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Для решения данной проблемы в районе работает  Центр психолого-педагогической реабилитации и коррекции.  Детям, которые не посещают детские дошкольные учреждения по состоянию здоровья, образовательная </w:t>
      </w:r>
      <w:proofErr w:type="gramStart"/>
      <w:r w:rsidRPr="00B47E21">
        <w:rPr>
          <w:rFonts w:ascii="Times New Roman" w:eastAsia="Times New Roman" w:hAnsi="Times New Roman" w:cs="Times New Roman"/>
          <w:sz w:val="24"/>
        </w:rPr>
        <w:t>услуга</w:t>
      </w:r>
      <w:proofErr w:type="gramEnd"/>
      <w:r w:rsidRPr="00B47E21">
        <w:rPr>
          <w:rFonts w:ascii="Times New Roman" w:eastAsia="Times New Roman" w:hAnsi="Times New Roman" w:cs="Times New Roman"/>
          <w:sz w:val="24"/>
        </w:rPr>
        <w:t xml:space="preserve"> оказывается через работу   детско-родительской  гостиной «Доброта», детско-родительского  клуба «Мамина школа». На сегодня в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районе существует общественно значимая проблема, связанная с необходимостью ранней профилактики нарушений развития детей в </w:t>
      </w:r>
      <w:proofErr w:type="gramStart"/>
      <w:r w:rsidRPr="00B47E21">
        <w:rPr>
          <w:rFonts w:ascii="Times New Roman" w:eastAsia="Times New Roman" w:hAnsi="Times New Roman" w:cs="Times New Roman"/>
          <w:sz w:val="24"/>
        </w:rPr>
        <w:t>более расширенной</w:t>
      </w:r>
      <w:proofErr w:type="gramEnd"/>
      <w:r w:rsidRPr="00B47E21">
        <w:rPr>
          <w:rFonts w:ascii="Times New Roman" w:eastAsia="Times New Roman" w:hAnsi="Times New Roman" w:cs="Times New Roman"/>
          <w:sz w:val="24"/>
        </w:rPr>
        <w:t xml:space="preserve"> форме.  В 2018 году Центр психолого-педагогической реабилитации и коррекции стал одним из участников программы Фонда поддержки детей, находящихся в трудной жизненной ситуации «Ранняя помощь».  Благодаря поддержке Фонда приобретено оборудование  для реализации программ по повышению родительской компетентности в вопросах развития, обучения и воспитания детей раннего возраста и программы обучения родителей, воспитывающих детей-инвалидов и детей с ОВЗ способам ухода и методам реабилитации на дому.</w:t>
      </w:r>
    </w:p>
    <w:p w:rsidR="00662579" w:rsidRPr="00B47E21" w:rsidRDefault="00662579" w:rsidP="00F172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  Оплата за содержание детей в дошкольных образовательных учреждениях осуществляется в соответствии с приказом Управления образования МО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муниципальный район» «Об установлении размера родительской платы за присмотр и уход за детьми в  образовательных учреждениях, реализующих программы дошкольного образования».  Средний размер  родительской  платы  в течен</w:t>
      </w:r>
      <w:r w:rsidR="00F1724A">
        <w:rPr>
          <w:rFonts w:ascii="Times New Roman" w:eastAsia="Times New Roman" w:hAnsi="Times New Roman" w:cs="Times New Roman"/>
          <w:sz w:val="24"/>
        </w:rPr>
        <w:t>ие двух последних лет составил: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366"/>
        <w:gridCol w:w="1994"/>
      </w:tblGrid>
      <w:tr w:rsidR="00662579" w:rsidRPr="00B47E21" w:rsidTr="00803CD8">
        <w:tc>
          <w:tcPr>
            <w:tcW w:w="9571" w:type="dxa"/>
            <w:gridSpan w:val="4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В  день с учётом  периода  пребывания воспитанника в организации (рублей в  сутки)</w:t>
            </w:r>
          </w:p>
        </w:tc>
      </w:tr>
      <w:tr w:rsidR="00662579" w:rsidRPr="00B47E21" w:rsidTr="00BB740A">
        <w:tc>
          <w:tcPr>
            <w:tcW w:w="2518" w:type="dxa"/>
            <w:shd w:val="clear" w:color="auto" w:fill="auto"/>
          </w:tcPr>
          <w:p w:rsidR="00662579" w:rsidRPr="00B47E21" w:rsidRDefault="00662579" w:rsidP="00662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Сокращённого пребывания (6-ти часовое пребывание)</w:t>
            </w:r>
          </w:p>
        </w:tc>
        <w:tc>
          <w:tcPr>
            <w:tcW w:w="2693" w:type="dxa"/>
            <w:shd w:val="clear" w:color="auto" w:fill="auto"/>
          </w:tcPr>
          <w:p w:rsidR="00662579" w:rsidRPr="00B47E21" w:rsidRDefault="00662579" w:rsidP="00662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Сокращён</w:t>
            </w:r>
            <w:r w:rsidR="00803CD8">
              <w:rPr>
                <w:rFonts w:ascii="Times New Roman" w:eastAsia="Times New Roman" w:hAnsi="Times New Roman" w:cs="Times New Roman"/>
                <w:sz w:val="24"/>
              </w:rPr>
              <w:t xml:space="preserve">ного </w:t>
            </w:r>
            <w:r w:rsidRPr="00B47E21">
              <w:rPr>
                <w:rFonts w:ascii="Times New Roman" w:eastAsia="Times New Roman" w:hAnsi="Times New Roman" w:cs="Times New Roman"/>
                <w:sz w:val="24"/>
              </w:rPr>
              <w:t>пребывания (8,9, 9,5 и 10,5 часовыми режимами пребывания)</w:t>
            </w:r>
          </w:p>
        </w:tc>
        <w:tc>
          <w:tcPr>
            <w:tcW w:w="2366" w:type="dxa"/>
            <w:shd w:val="clear" w:color="auto" w:fill="auto"/>
          </w:tcPr>
          <w:p w:rsidR="00662579" w:rsidRPr="00B47E21" w:rsidRDefault="00662579" w:rsidP="00662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Полного дня с 12-ти часовым режимом пребывания</w:t>
            </w:r>
          </w:p>
        </w:tc>
        <w:tc>
          <w:tcPr>
            <w:tcW w:w="1994" w:type="dxa"/>
            <w:shd w:val="clear" w:color="auto" w:fill="auto"/>
          </w:tcPr>
          <w:p w:rsidR="00662579" w:rsidRPr="00B47E21" w:rsidRDefault="00662579" w:rsidP="006625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Круглосуточного пребывания</w:t>
            </w:r>
          </w:p>
        </w:tc>
      </w:tr>
      <w:tr w:rsidR="00662579" w:rsidRPr="00B47E21" w:rsidTr="00BB740A">
        <w:tc>
          <w:tcPr>
            <w:tcW w:w="2518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77.5</w:t>
            </w:r>
          </w:p>
        </w:tc>
        <w:tc>
          <w:tcPr>
            <w:tcW w:w="2693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2366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135</w:t>
            </w:r>
          </w:p>
        </w:tc>
        <w:tc>
          <w:tcPr>
            <w:tcW w:w="1994" w:type="dxa"/>
            <w:shd w:val="clear" w:color="auto" w:fill="auto"/>
          </w:tcPr>
          <w:p w:rsidR="00662579" w:rsidRPr="00B47E21" w:rsidRDefault="00662579" w:rsidP="00B84F50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47E21">
              <w:rPr>
                <w:rFonts w:ascii="Times New Roman" w:eastAsia="Times New Roman" w:hAnsi="Times New Roman" w:cs="Times New Roman"/>
                <w:sz w:val="24"/>
              </w:rPr>
              <w:t>155</w:t>
            </w:r>
          </w:p>
        </w:tc>
      </w:tr>
    </w:tbl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lastRenderedPageBreak/>
        <w:t xml:space="preserve">     Основными задачами в области дошкольного образования остаются обеспечение доступности и качества дошкольного образования. В образовательных учреждениях продолжается целенаправленная  работа по включению в образовательный процесс  новых образовательных технологий. </w:t>
      </w:r>
      <w:proofErr w:type="gramStart"/>
      <w:r w:rsidRPr="00B47E21">
        <w:rPr>
          <w:rFonts w:ascii="Times New Roman" w:eastAsia="Times New Roman" w:hAnsi="Times New Roman" w:cs="Times New Roman"/>
          <w:sz w:val="24"/>
        </w:rPr>
        <w:t>В инновационном режиме работают  МБДОУ «ЦРР – детский сад «Алёнушка» (внедрение и апробация инновационной формы взаимодействия с семьями воспитанников  как важное условие реализации ООПДО), МБОУ «ОСОШ №1» СП «Детский сад «Ручеек» (апробируют авторскую комплексную  программу  «Тропинки»),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Березницкая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СОШ» СП «Детский сад «Березка» (апробируют программу «Социокультурные истоки для детей дошкольного возраста»),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Киземская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СОШ» СП «Детский сад «Солнышко» (реализуют проект «Применение</w:t>
      </w:r>
      <w:proofErr w:type="gramEnd"/>
      <w:r w:rsidRPr="00B47E21">
        <w:rPr>
          <w:rFonts w:ascii="Times New Roman" w:eastAsia="Times New Roman" w:hAnsi="Times New Roman" w:cs="Times New Roman"/>
          <w:sz w:val="24"/>
        </w:rPr>
        <w:t xml:space="preserve"> технологии проблемного обучения в условиях реализации ФГОС ДО»), МБОУ «Начальная школа - детский сад М.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» (апробируют  и внедряют  технологию эффективной социализации личности Н. П. Гришаевой в практику работы ОУ). </w:t>
      </w:r>
    </w:p>
    <w:p w:rsidR="00662579" w:rsidRPr="00B47E21" w:rsidRDefault="00662579" w:rsidP="006625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B47E21">
        <w:rPr>
          <w:rFonts w:ascii="Times New Roman" w:eastAsia="Times New Roman" w:hAnsi="Times New Roman" w:cs="Times New Roman"/>
          <w:sz w:val="24"/>
        </w:rPr>
        <w:t xml:space="preserve">      Педагоги района активно участвуют в мероприятиях различного уровня. Так, в 2018 году впервые в истории дошкольного образования на Устье, воспитатель детского сада «Радуга» СП МБОУ «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Малодорская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школа» Надежда Васильевна </w:t>
      </w:r>
      <w:proofErr w:type="spellStart"/>
      <w:r w:rsidRPr="00B47E21">
        <w:rPr>
          <w:rFonts w:ascii="Times New Roman" w:eastAsia="Times New Roman" w:hAnsi="Times New Roman" w:cs="Times New Roman"/>
          <w:sz w:val="24"/>
        </w:rPr>
        <w:t>Проневская</w:t>
      </w:r>
      <w:proofErr w:type="spellEnd"/>
      <w:r w:rsidRPr="00B47E21">
        <w:rPr>
          <w:rFonts w:ascii="Times New Roman" w:eastAsia="Times New Roman" w:hAnsi="Times New Roman" w:cs="Times New Roman"/>
          <w:sz w:val="24"/>
        </w:rPr>
        <w:t xml:space="preserve"> стала  лауреатом  IX Всероссийского профессионального конкурса «Воспитатель года России – 2018».</w:t>
      </w:r>
    </w:p>
    <w:p w:rsidR="00662579" w:rsidRDefault="00662579" w:rsidP="00582325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62579" w:rsidRPr="00874C59" w:rsidRDefault="00662579" w:rsidP="00662579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874C59">
        <w:rPr>
          <w:rFonts w:ascii="Times New Roman" w:eastAsia="Times New Roman" w:hAnsi="Times New Roman" w:cs="Times New Roman"/>
          <w:i/>
          <w:iCs/>
          <w:sz w:val="24"/>
          <w:u w:val="single"/>
        </w:rPr>
        <w:t>Финансово-экономическая деятельность</w:t>
      </w:r>
    </w:p>
    <w:p w:rsidR="00662579" w:rsidRPr="00874C5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74C59">
        <w:rPr>
          <w:rFonts w:ascii="Times New Roman" w:eastAsia="Times New Roman" w:hAnsi="Times New Roman" w:cs="Times New Roman"/>
          <w:sz w:val="24"/>
        </w:rPr>
        <w:t xml:space="preserve">В целях повышения эффективности деятельности образовательной организации важно понимать, какой объем средств поступает в ОО в расчете на одного воспитанника. </w:t>
      </w:r>
    </w:p>
    <w:p w:rsidR="00662579" w:rsidRPr="00662579" w:rsidRDefault="00874C5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9" w:name="_MON_1601302525"/>
      <w:bookmarkStart w:id="10" w:name="_MON_1601381542"/>
      <w:bookmarkStart w:id="11" w:name="_MON_1601381612"/>
      <w:bookmarkStart w:id="12" w:name="_MON_1601381621"/>
      <w:bookmarkStart w:id="13" w:name="_MON_1601383661"/>
      <w:bookmarkEnd w:id="9"/>
      <w:bookmarkEnd w:id="10"/>
      <w:bookmarkEnd w:id="11"/>
      <w:bookmarkEnd w:id="12"/>
      <w:bookmarkEnd w:id="13"/>
      <w:r>
        <w:rPr>
          <w:noProof/>
          <w:lang w:eastAsia="ru-RU"/>
        </w:rPr>
        <w:drawing>
          <wp:inline distT="0" distB="0" distL="0" distR="0" wp14:anchorId="32BF9A54" wp14:editId="7B9045CE">
            <wp:extent cx="4572000" cy="2743200"/>
            <wp:effectExtent l="0" t="0" r="19050" b="1905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4CD1" w:rsidRPr="00662579" w:rsidRDefault="00F94CD1" w:rsidP="00F94C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2579" w:rsidRPr="0066257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75B05"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9531AF">
        <w:rPr>
          <w:rFonts w:ascii="Times New Roman" w:eastAsia="Times New Roman" w:hAnsi="Times New Roman" w:cs="Times New Roman"/>
          <w:sz w:val="24"/>
        </w:rPr>
        <w:t xml:space="preserve">В </w:t>
      </w:r>
      <w:r w:rsidRPr="009531AF">
        <w:rPr>
          <w:rFonts w:ascii="Times New Roman" w:eastAsia="Times New Roman" w:hAnsi="Times New Roman" w:cs="Times New Roman"/>
        </w:rPr>
        <w:t>201</w:t>
      </w:r>
      <w:r w:rsidR="00D75B05" w:rsidRPr="009531AF">
        <w:rPr>
          <w:rFonts w:ascii="Times New Roman" w:eastAsia="Times New Roman" w:hAnsi="Times New Roman" w:cs="Times New Roman"/>
        </w:rPr>
        <w:t>8</w:t>
      </w:r>
      <w:r w:rsidRPr="009531AF">
        <w:rPr>
          <w:rFonts w:ascii="Times New Roman" w:eastAsia="Times New Roman" w:hAnsi="Times New Roman" w:cs="Times New Roman"/>
        </w:rPr>
        <w:t xml:space="preserve"> году</w:t>
      </w:r>
      <w:r w:rsidRPr="009531AF">
        <w:rPr>
          <w:rFonts w:ascii="Calibri" w:eastAsia="Times New Roman" w:hAnsi="Calibri" w:cs="Times New Roman"/>
        </w:rPr>
        <w:t xml:space="preserve"> </w:t>
      </w:r>
      <w:proofErr w:type="spellStart"/>
      <w:r w:rsidRPr="009531AF">
        <w:rPr>
          <w:rFonts w:ascii="Times New Roman" w:eastAsia="Times New Roman" w:hAnsi="Times New Roman" w:cs="Times New Roman"/>
          <w:sz w:val="24"/>
        </w:rPr>
        <w:t>внебюджет</w:t>
      </w:r>
      <w:proofErr w:type="spellEnd"/>
      <w:r w:rsidRPr="009531AF">
        <w:rPr>
          <w:rFonts w:ascii="Times New Roman" w:eastAsia="Times New Roman" w:hAnsi="Times New Roman" w:cs="Times New Roman"/>
          <w:sz w:val="24"/>
        </w:rPr>
        <w:t xml:space="preserve"> на одного ребёнка составил </w:t>
      </w:r>
      <w:r w:rsidR="00D75B05" w:rsidRPr="009531AF">
        <w:rPr>
          <w:rFonts w:ascii="Times New Roman" w:eastAsia="Times New Roman" w:hAnsi="Times New Roman" w:cs="Times New Roman"/>
          <w:sz w:val="24"/>
        </w:rPr>
        <w:t>19,34</w:t>
      </w:r>
      <w:r w:rsidRPr="009531AF">
        <w:rPr>
          <w:rFonts w:ascii="Times New Roman" w:eastAsia="Times New Roman" w:hAnsi="Times New Roman" w:cs="Times New Roman"/>
          <w:sz w:val="24"/>
        </w:rPr>
        <w:t xml:space="preserve"> тыс.</w:t>
      </w:r>
      <w:r w:rsidR="00BB740A" w:rsidRPr="009531AF">
        <w:rPr>
          <w:rFonts w:ascii="Times New Roman" w:eastAsia="Times New Roman" w:hAnsi="Times New Roman" w:cs="Times New Roman"/>
          <w:sz w:val="24"/>
        </w:rPr>
        <w:t xml:space="preserve"> </w:t>
      </w:r>
      <w:r w:rsidRPr="009531AF">
        <w:rPr>
          <w:rFonts w:ascii="Times New Roman" w:eastAsia="Times New Roman" w:hAnsi="Times New Roman" w:cs="Times New Roman"/>
          <w:sz w:val="24"/>
        </w:rPr>
        <w:t>рублей. Однако</w:t>
      </w:r>
      <w:proofErr w:type="gramStart"/>
      <w:r w:rsidRPr="009531AF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9531AF">
        <w:rPr>
          <w:rFonts w:ascii="Times New Roman" w:eastAsia="Times New Roman" w:hAnsi="Times New Roman" w:cs="Times New Roman"/>
          <w:sz w:val="24"/>
        </w:rPr>
        <w:t xml:space="preserve"> следует отметить, что большая часть средств по образовательной деятельности дополнительно привлекается только одной образовательной организацией – МБДОУ «Центр развития ребенка – детский сад «Аленушка».</w:t>
      </w:r>
    </w:p>
    <w:p w:rsidR="00662579" w:rsidRPr="00980489" w:rsidRDefault="00662579" w:rsidP="00662579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80489">
        <w:rPr>
          <w:rFonts w:ascii="Times New Roman" w:eastAsia="Times New Roman" w:hAnsi="Times New Roman" w:cs="Times New Roman"/>
          <w:i/>
          <w:iCs/>
          <w:sz w:val="24"/>
          <w:u w:val="single"/>
        </w:rPr>
        <w:t>Выводы</w:t>
      </w:r>
    </w:p>
    <w:p w:rsidR="00662579" w:rsidRPr="0098048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80489">
        <w:rPr>
          <w:rFonts w:ascii="Times New Roman" w:eastAsia="Times New Roman" w:hAnsi="Times New Roman" w:cs="Times New Roman"/>
          <w:sz w:val="24"/>
        </w:rPr>
        <w:t>В указанный период в системе дошкольного образования удалось решить одну из самых важных задач – обеспечение доступности дошкольного образования – местами в детском саду обеспечены все желающие в возрасте от 1,5 до 7 лет.</w:t>
      </w:r>
    </w:p>
    <w:p w:rsidR="00662579" w:rsidRPr="0098048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80489">
        <w:rPr>
          <w:rFonts w:ascii="Times New Roman" w:eastAsia="Times New Roman" w:hAnsi="Times New Roman" w:cs="Times New Roman"/>
          <w:sz w:val="24"/>
        </w:rPr>
        <w:t>Исходя из полученных данных, можем поставить три основные задачи:</w:t>
      </w:r>
    </w:p>
    <w:p w:rsidR="00662579" w:rsidRPr="0098048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80489">
        <w:rPr>
          <w:rFonts w:ascii="Times New Roman" w:eastAsia="Times New Roman" w:hAnsi="Times New Roman" w:cs="Times New Roman"/>
          <w:sz w:val="24"/>
        </w:rPr>
        <w:t>- продолжать создавать условия в детских садах, соответствующие современным требованиям;</w:t>
      </w:r>
    </w:p>
    <w:p w:rsidR="00662579" w:rsidRPr="00980489" w:rsidRDefault="00662579" w:rsidP="006625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80489">
        <w:rPr>
          <w:rFonts w:ascii="Times New Roman" w:eastAsia="Times New Roman" w:hAnsi="Times New Roman" w:cs="Times New Roman"/>
          <w:sz w:val="24"/>
        </w:rPr>
        <w:t xml:space="preserve">- обеспечивать  качество дошкольного образования в соответствии с ФГОС </w:t>
      </w:r>
      <w:proofErr w:type="gramStart"/>
      <w:r w:rsidRPr="00980489">
        <w:rPr>
          <w:rFonts w:ascii="Times New Roman" w:eastAsia="Times New Roman" w:hAnsi="Times New Roman" w:cs="Times New Roman"/>
          <w:sz w:val="24"/>
        </w:rPr>
        <w:t>ДО</w:t>
      </w:r>
      <w:proofErr w:type="gramEnd"/>
      <w:r w:rsidRPr="00980489">
        <w:rPr>
          <w:rFonts w:ascii="Times New Roman" w:eastAsia="Times New Roman" w:hAnsi="Times New Roman" w:cs="Times New Roman"/>
          <w:sz w:val="24"/>
        </w:rPr>
        <w:t>;</w:t>
      </w:r>
    </w:p>
    <w:p w:rsidR="00662579" w:rsidRPr="00980489" w:rsidRDefault="00662579" w:rsidP="00662579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489">
        <w:rPr>
          <w:rFonts w:ascii="Times New Roman" w:eastAsia="Times New Roman" w:hAnsi="Times New Roman" w:cs="Times New Roman"/>
          <w:sz w:val="24"/>
        </w:rPr>
        <w:t>- создавать организационно-методические условия по работе с детьми-инвалидами и детьми с ОВЗ</w:t>
      </w:r>
    </w:p>
    <w:p w:rsidR="00662579" w:rsidRDefault="00662579" w:rsidP="0066257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76664" w:rsidRPr="00143665" w:rsidRDefault="00E76664" w:rsidP="00662579">
      <w:pPr>
        <w:keepNext/>
        <w:keepLines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4" w:name="_Toc498331666"/>
      <w:r w:rsidRPr="00143665">
        <w:rPr>
          <w:rFonts w:ascii="Times New Roman" w:eastAsia="Times New Roman" w:hAnsi="Times New Roman" w:cs="Times New Roman"/>
          <w:b/>
          <w:sz w:val="24"/>
          <w:szCs w:val="24"/>
        </w:rPr>
        <w:t>2.2. Сведения о развитии начального общего образования, основного общего образования и среднего общего образования</w:t>
      </w:r>
      <w:bookmarkEnd w:id="14"/>
    </w:p>
    <w:p w:rsidR="00E76664" w:rsidRPr="00E76664" w:rsidRDefault="00E76664" w:rsidP="00605473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7666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Введение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Основные задачи, над которыми работали образовательные организации и Управление образования </w:t>
      </w:r>
      <w:proofErr w:type="spellStart"/>
      <w:r w:rsidRPr="00E76664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E76664">
        <w:rPr>
          <w:rFonts w:ascii="Times New Roman" w:eastAsia="Times New Roman" w:hAnsi="Times New Roman" w:cs="Times New Roman"/>
          <w:sz w:val="24"/>
        </w:rPr>
        <w:t xml:space="preserve"> района в 2018 году,  являлись: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- освоения ФГОС основного общего образования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- введению ФГОС  среднего общего образования;</w:t>
      </w:r>
    </w:p>
    <w:p w:rsidR="00E76664" w:rsidRPr="00E76664" w:rsidRDefault="00E76664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           -улучшение образовательных результатов выпускников общеобразовательных организаций;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- создание условий для обучения, отвечающих современным требованиям.</w:t>
      </w:r>
    </w:p>
    <w:p w:rsidR="00E76664" w:rsidRPr="00135A39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605473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605473">
        <w:rPr>
          <w:rFonts w:ascii="Times New Roman" w:eastAsia="Times New Roman" w:hAnsi="Times New Roman" w:cs="Times New Roman"/>
          <w:i/>
          <w:iCs/>
          <w:sz w:val="24"/>
          <w:u w:val="single"/>
        </w:rPr>
        <w:t>Контингент</w:t>
      </w:r>
    </w:p>
    <w:p w:rsidR="00E76664" w:rsidRPr="00605473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05473">
        <w:rPr>
          <w:rFonts w:ascii="Times New Roman" w:eastAsia="Times New Roman" w:hAnsi="Times New Roman" w:cs="Times New Roman"/>
          <w:sz w:val="24"/>
        </w:rPr>
        <w:t>Численность обучающихся на 01 января 2018 года в общеобразовательных учреждениях района составляет 332</w:t>
      </w:r>
      <w:r w:rsidR="00605473" w:rsidRPr="00605473">
        <w:rPr>
          <w:rFonts w:ascii="Times New Roman" w:eastAsia="Times New Roman" w:hAnsi="Times New Roman" w:cs="Times New Roman"/>
          <w:sz w:val="24"/>
        </w:rPr>
        <w:t>5</w:t>
      </w:r>
      <w:r w:rsidRPr="00605473">
        <w:rPr>
          <w:rFonts w:ascii="Times New Roman" w:eastAsia="Times New Roman" w:hAnsi="Times New Roman" w:cs="Times New Roman"/>
          <w:sz w:val="24"/>
        </w:rPr>
        <w:t xml:space="preserve"> человек. </w:t>
      </w:r>
    </w:p>
    <w:p w:rsidR="00E76664" w:rsidRPr="00605473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605473">
        <w:rPr>
          <w:rFonts w:ascii="Times New Roman" w:eastAsia="Times New Roman" w:hAnsi="Times New Roman" w:cs="Times New Roman"/>
          <w:sz w:val="24"/>
        </w:rPr>
        <w:t>Данные по охвату детей начальным, основным, средним общим образованием в общей численности детей в возрасте 7-17 лет приведены на диаграмме</w:t>
      </w:r>
    </w:p>
    <w:p w:rsid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23280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23280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232804">
        <w:rPr>
          <w:rFonts w:ascii="Times New Roman" w:eastAsia="Times New Roman" w:hAnsi="Times New Roman" w:cs="Times New Roman"/>
          <w:noProof/>
          <w:color w:val="FF0000"/>
          <w:sz w:val="24"/>
          <w:lang w:eastAsia="ru-RU"/>
        </w:rPr>
        <w:lastRenderedPageBreak/>
        <w:drawing>
          <wp:inline distT="0" distB="0" distL="0" distR="0" wp14:anchorId="4C6FF697" wp14:editId="7E53CD4D">
            <wp:extent cx="5060950" cy="171831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76664" w:rsidRPr="00AB1C78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B1C78">
        <w:rPr>
          <w:rFonts w:ascii="Times New Roman" w:eastAsia="Times New Roman" w:hAnsi="Times New Roman" w:cs="Times New Roman"/>
          <w:sz w:val="24"/>
        </w:rPr>
        <w:t>Не 100% охват объясняется тем, что на территории района имеется образовательная организация среднего профессионального образования, где продолжают образование часть детей, получивших основное общее образование.</w:t>
      </w:r>
    </w:p>
    <w:p w:rsidR="00E76664" w:rsidRPr="009175BE" w:rsidRDefault="00E76664" w:rsidP="002B0D9B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5BE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9175BE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9175BE">
        <w:rPr>
          <w:rFonts w:ascii="Times New Roman" w:eastAsia="Times New Roman" w:hAnsi="Times New Roman" w:cs="Times New Roman"/>
          <w:sz w:val="24"/>
        </w:rPr>
        <w:t xml:space="preserve"> районе опережающими темпами идет введение федеральных государственных образовательных стандартов. </w:t>
      </w:r>
      <w:proofErr w:type="gramStart"/>
      <w:r w:rsidRPr="00135A39">
        <w:rPr>
          <w:rFonts w:ascii="Times New Roman" w:eastAsia="Times New Roman" w:hAnsi="Times New Roman" w:cs="Times New Roman"/>
          <w:sz w:val="24"/>
        </w:rPr>
        <w:t xml:space="preserve">В 2018 году по ФГОС обучается </w:t>
      </w:r>
      <w:r w:rsidRPr="00135A39">
        <w:rPr>
          <w:rFonts w:ascii="Times New Roman" w:eastAsia="Times New Roman" w:hAnsi="Times New Roman" w:cs="Times New Roman"/>
          <w:sz w:val="24"/>
        </w:rPr>
        <w:tab/>
        <w:t xml:space="preserve">98% всех школьников 1-10 класс района, в том числе: 100% </w:t>
      </w:r>
      <w:r w:rsidR="00605473">
        <w:rPr>
          <w:rFonts w:ascii="Times New Roman" w:eastAsia="Times New Roman" w:hAnsi="Times New Roman" w:cs="Times New Roman"/>
          <w:sz w:val="24"/>
        </w:rPr>
        <w:t>обучающихся</w:t>
      </w:r>
      <w:r w:rsidRPr="00135A39">
        <w:rPr>
          <w:rFonts w:ascii="Times New Roman" w:eastAsia="Times New Roman" w:hAnsi="Times New Roman" w:cs="Times New Roman"/>
          <w:sz w:val="24"/>
        </w:rPr>
        <w:t xml:space="preserve">  1-8 классов, </w:t>
      </w:r>
      <w:r w:rsidRPr="002B0D9B">
        <w:rPr>
          <w:rFonts w:ascii="Times New Roman" w:eastAsia="Calibri" w:hAnsi="Times New Roman" w:cs="Times New Roman"/>
          <w:sz w:val="24"/>
          <w:szCs w:val="24"/>
        </w:rPr>
        <w:t>97,5%</w:t>
      </w:r>
      <w:r w:rsidRPr="007755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4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775558">
        <w:rPr>
          <w:rFonts w:ascii="Times New Roman" w:eastAsia="Calibri" w:hAnsi="Times New Roman" w:cs="Times New Roman"/>
          <w:sz w:val="24"/>
          <w:szCs w:val="24"/>
        </w:rPr>
        <w:t xml:space="preserve"> 9-х классов  (все школы, кроме </w:t>
      </w:r>
      <w:proofErr w:type="spellStart"/>
      <w:r w:rsidRPr="00775558">
        <w:rPr>
          <w:rFonts w:ascii="Times New Roman" w:eastAsia="Calibri" w:hAnsi="Times New Roman" w:cs="Times New Roman"/>
          <w:sz w:val="24"/>
          <w:szCs w:val="24"/>
        </w:rPr>
        <w:t>Едемской</w:t>
      </w:r>
      <w:proofErr w:type="spellEnd"/>
      <w:r w:rsidRPr="00775558">
        <w:rPr>
          <w:rFonts w:ascii="Times New Roman" w:eastAsia="Calibri" w:hAnsi="Times New Roman" w:cs="Times New Roman"/>
          <w:sz w:val="24"/>
          <w:szCs w:val="24"/>
        </w:rPr>
        <w:t xml:space="preserve"> ООШ, Орловской</w:t>
      </w:r>
      <w:r w:rsidR="00605473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7755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75558">
        <w:rPr>
          <w:rFonts w:ascii="Times New Roman" w:eastAsia="Calibri" w:hAnsi="Times New Roman" w:cs="Times New Roman"/>
          <w:sz w:val="24"/>
          <w:szCs w:val="24"/>
        </w:rPr>
        <w:t>Плосской</w:t>
      </w:r>
      <w:proofErr w:type="spellEnd"/>
      <w:r w:rsidRPr="00775558">
        <w:rPr>
          <w:rFonts w:ascii="Times New Roman" w:eastAsia="Calibri" w:hAnsi="Times New Roman" w:cs="Times New Roman"/>
          <w:sz w:val="24"/>
          <w:szCs w:val="24"/>
        </w:rPr>
        <w:t xml:space="preserve"> ООШ</w:t>
      </w:r>
      <w:r w:rsidRPr="00135A39">
        <w:rPr>
          <w:rFonts w:ascii="Times New Roman" w:eastAsia="Calibri" w:hAnsi="Times New Roman" w:cs="Times New Roman"/>
          <w:sz w:val="24"/>
          <w:szCs w:val="24"/>
        </w:rPr>
        <w:t>)</w:t>
      </w:r>
      <w:r w:rsidRPr="00135A39">
        <w:rPr>
          <w:rFonts w:ascii="Times New Roman" w:eastAsia="Times New Roman" w:hAnsi="Times New Roman" w:cs="Times New Roman"/>
          <w:sz w:val="24"/>
        </w:rPr>
        <w:t>,</w:t>
      </w:r>
      <w:r w:rsidRPr="00135A39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Pr="002B0D9B">
        <w:rPr>
          <w:rFonts w:ascii="Times New Roman" w:eastAsia="Calibri" w:hAnsi="Times New Roman" w:cs="Times New Roman"/>
          <w:sz w:val="24"/>
          <w:szCs w:val="24"/>
        </w:rPr>
        <w:t>73%</w:t>
      </w:r>
      <w:r w:rsidRPr="00A220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5473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A220D6">
        <w:rPr>
          <w:rFonts w:ascii="Times New Roman" w:eastAsia="Calibri" w:hAnsi="Times New Roman" w:cs="Times New Roman"/>
          <w:sz w:val="24"/>
          <w:szCs w:val="24"/>
        </w:rPr>
        <w:t xml:space="preserve"> 10-х</w:t>
      </w:r>
      <w:r w:rsidRPr="00F666C9">
        <w:rPr>
          <w:rFonts w:ascii="Times New Roman" w:eastAsia="Calibri" w:hAnsi="Times New Roman" w:cs="Times New Roman"/>
          <w:sz w:val="24"/>
          <w:szCs w:val="24"/>
        </w:rPr>
        <w:t xml:space="preserve">-11х </w:t>
      </w:r>
      <w:r w:rsidRPr="00A220D6">
        <w:rPr>
          <w:rFonts w:ascii="Times New Roman" w:eastAsia="Calibri" w:hAnsi="Times New Roman" w:cs="Times New Roman"/>
          <w:sz w:val="24"/>
          <w:szCs w:val="24"/>
        </w:rPr>
        <w:t xml:space="preserve"> классов (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r w:rsidRPr="00A220D6">
        <w:rPr>
          <w:rFonts w:ascii="Times New Roman" w:eastAsia="Calibri" w:hAnsi="Times New Roman" w:cs="Times New Roman"/>
          <w:sz w:val="24"/>
          <w:szCs w:val="24"/>
        </w:rPr>
        <w:t>ОСОШ № 2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220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220D6">
        <w:rPr>
          <w:rFonts w:ascii="Times New Roman" w:eastAsia="Calibri" w:hAnsi="Times New Roman" w:cs="Times New Roman"/>
          <w:sz w:val="24"/>
          <w:szCs w:val="24"/>
        </w:rPr>
        <w:t>Устьянская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A220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220D6">
        <w:rPr>
          <w:rFonts w:ascii="Times New Roman" w:eastAsia="Calibri" w:hAnsi="Times New Roman" w:cs="Times New Roman"/>
          <w:sz w:val="24"/>
          <w:szCs w:val="24"/>
        </w:rPr>
        <w:t>Строевская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A220D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Pr="00A220D6">
        <w:rPr>
          <w:rFonts w:ascii="Times New Roman" w:eastAsia="Calibri" w:hAnsi="Times New Roman" w:cs="Times New Roman"/>
          <w:sz w:val="24"/>
          <w:szCs w:val="24"/>
        </w:rPr>
        <w:t>Киземская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СОШ», МБОУ «ОСОШ № 1», МБОУ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СОШ», МБОУ «</w:t>
      </w:r>
      <w:r w:rsidRPr="00F666C9">
        <w:rPr>
          <w:rFonts w:ascii="Times New Roman" w:eastAsia="Calibri" w:hAnsi="Times New Roman" w:cs="Times New Roman"/>
          <w:sz w:val="24"/>
          <w:szCs w:val="24"/>
        </w:rPr>
        <w:t>Дмитриевская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СОШ»</w:t>
      </w:r>
      <w:r w:rsidRPr="00A220D6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135A39">
        <w:rPr>
          <w:rFonts w:ascii="Times New Roman" w:eastAsia="Times New Roman" w:hAnsi="Times New Roman" w:cs="Times New Roman"/>
          <w:sz w:val="24"/>
        </w:rPr>
        <w:t xml:space="preserve">Удельный вес численности </w:t>
      </w:r>
      <w:r w:rsidR="002B0D9B">
        <w:rPr>
          <w:rFonts w:ascii="Times New Roman" w:eastAsia="Times New Roman" w:hAnsi="Times New Roman" w:cs="Times New Roman"/>
          <w:sz w:val="24"/>
        </w:rPr>
        <w:t>обучающихся</w:t>
      </w:r>
      <w:r w:rsidRPr="00135A39">
        <w:rPr>
          <w:rFonts w:ascii="Times New Roman" w:eastAsia="Times New Roman" w:hAnsi="Times New Roman" w:cs="Times New Roman"/>
          <w:sz w:val="24"/>
        </w:rPr>
        <w:t xml:space="preserve">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 представлен на диаграмме.</w:t>
      </w:r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FF809FE" wp14:editId="19A43B41">
            <wp:extent cx="4351020" cy="217551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6664" w:rsidRPr="00E76664" w:rsidRDefault="00E76664" w:rsidP="00605473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         В </w:t>
      </w:r>
      <w:proofErr w:type="spellStart"/>
      <w:r w:rsidRPr="00E76664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E76664">
        <w:rPr>
          <w:rFonts w:ascii="Times New Roman" w:eastAsia="Times New Roman" w:hAnsi="Times New Roman" w:cs="Times New Roman"/>
          <w:sz w:val="24"/>
        </w:rPr>
        <w:t xml:space="preserve"> районе все образовательные организации работают в одну смену.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sz w:val="24"/>
          <w:szCs w:val="24"/>
        </w:rPr>
        <w:t>В школах района организовано профильное обучение  и  изучение некоторых предметов на углубленном уровне.  В МБОУ «</w:t>
      </w:r>
      <w:proofErr w:type="spellStart"/>
      <w:r w:rsidRPr="00E76664">
        <w:rPr>
          <w:rFonts w:ascii="Times New Roman" w:eastAsia="Times New Roman" w:hAnsi="Times New Roman" w:cs="Times New Roman"/>
          <w:sz w:val="24"/>
          <w:szCs w:val="24"/>
        </w:rPr>
        <w:t>Устьянская</w:t>
      </w:r>
      <w:proofErr w:type="spell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СОШ»,  МБОУ «</w:t>
      </w:r>
      <w:proofErr w:type="spellStart"/>
      <w:r w:rsidRPr="00E76664">
        <w:rPr>
          <w:rFonts w:ascii="Times New Roman" w:eastAsia="Times New Roman" w:hAnsi="Times New Roman" w:cs="Times New Roman"/>
          <w:sz w:val="24"/>
          <w:szCs w:val="24"/>
        </w:rPr>
        <w:t>Березницкая</w:t>
      </w:r>
      <w:proofErr w:type="spell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ОГ»,  организовано обучение  10-х классов лесного профиля</w:t>
      </w:r>
      <w:r w:rsidRPr="00E766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76664">
        <w:t xml:space="preserve"> В </w:t>
      </w:r>
      <w:r w:rsidRPr="00E76664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Pr="00E76664">
        <w:rPr>
          <w:rFonts w:ascii="Times New Roman" w:eastAsia="Times New Roman" w:hAnsi="Times New Roman" w:cs="Times New Roman"/>
          <w:sz w:val="24"/>
          <w:szCs w:val="24"/>
        </w:rPr>
        <w:t>Киземская</w:t>
      </w:r>
      <w:proofErr w:type="spell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СОШ» организовано обучение 11 класса по технологическому профилю</w:t>
      </w:r>
      <w:r w:rsidR="006054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664" w:rsidRPr="00E76664" w:rsidRDefault="00E76664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76664">
        <w:rPr>
          <w:rFonts w:ascii="Times New Roman" w:eastAsia="Times New Roman" w:hAnsi="Times New Roman" w:cs="Times New Roman"/>
          <w:sz w:val="24"/>
          <w:szCs w:val="24"/>
        </w:rPr>
        <w:t>Березницкой</w:t>
      </w:r>
      <w:proofErr w:type="spell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гимназии начал функционировать спортивный (хоккейный) первый клас</w:t>
      </w:r>
      <w:proofErr w:type="gramStart"/>
      <w:r w:rsidRPr="00E76664">
        <w:rPr>
          <w:rFonts w:ascii="Times New Roman" w:eastAsia="Times New Roman" w:hAnsi="Times New Roman" w:cs="Times New Roman"/>
          <w:sz w:val="24"/>
          <w:szCs w:val="24"/>
        </w:rPr>
        <w:t>с-</w:t>
      </w:r>
      <w:proofErr w:type="gramEnd"/>
      <w:r w:rsidRPr="00E76664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20 обучающихся.</w:t>
      </w:r>
      <w:r w:rsidR="007D6B49">
        <w:rPr>
          <w:rFonts w:ascii="Times New Roman" w:eastAsia="Times New Roman" w:hAnsi="Times New Roman" w:cs="Times New Roman"/>
          <w:sz w:val="24"/>
          <w:szCs w:val="24"/>
        </w:rPr>
        <w:t xml:space="preserve"> В 8 ОО функционируют кадетские классы.</w:t>
      </w:r>
    </w:p>
    <w:p w:rsidR="00E76664" w:rsidRPr="00E76664" w:rsidRDefault="00E76664" w:rsidP="00605473">
      <w:pPr>
        <w:keepNext/>
        <w:keepLines/>
        <w:spacing w:before="120" w:after="12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5" w:name="_Toc409450556"/>
      <w:bookmarkStart w:id="16" w:name="_Toc441061943"/>
      <w:bookmarkStart w:id="17" w:name="_Toc441062044"/>
      <w:bookmarkStart w:id="18" w:name="_Toc441496694"/>
      <w:bookmarkStart w:id="19" w:name="_Toc473022074"/>
      <w:bookmarkStart w:id="20" w:name="_Toc507764262"/>
      <w:proofErr w:type="gramStart"/>
      <w:r w:rsidRPr="00E76664">
        <w:rPr>
          <w:rFonts w:ascii="Times New Roman" w:eastAsia="Calibri" w:hAnsi="Times New Roman" w:cs="Times New Roman"/>
          <w:b/>
          <w:sz w:val="24"/>
          <w:szCs w:val="24"/>
        </w:rPr>
        <w:t>Обучение</w:t>
      </w:r>
      <w:proofErr w:type="gramEnd"/>
      <w:r w:rsidRPr="00E76664">
        <w:rPr>
          <w:rFonts w:ascii="Times New Roman" w:eastAsia="Calibri" w:hAnsi="Times New Roman" w:cs="Times New Roman"/>
          <w:b/>
          <w:sz w:val="24"/>
          <w:szCs w:val="24"/>
        </w:rPr>
        <w:t xml:space="preserve"> по индивидуальным  учебным  планам</w:t>
      </w:r>
      <w:bookmarkEnd w:id="15"/>
      <w:bookmarkEnd w:id="16"/>
      <w:bookmarkEnd w:id="17"/>
      <w:bookmarkEnd w:id="18"/>
      <w:bookmarkEnd w:id="19"/>
      <w:bookmarkEnd w:id="2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196"/>
        <w:gridCol w:w="5258"/>
      </w:tblGrid>
      <w:tr w:rsidR="00E76664" w:rsidRPr="00E76664" w:rsidTr="002B0D9B">
        <w:trPr>
          <w:trHeight w:val="678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Предметы, изучаемые на углубленном</w:t>
            </w:r>
            <w:proofErr w:type="gramStart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профильном уровне</w:t>
            </w:r>
          </w:p>
        </w:tc>
      </w:tr>
      <w:tr w:rsidR="00E76664" w:rsidRPr="00E76664" w:rsidTr="002B0D9B">
        <w:trPr>
          <w:trHeight w:val="849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 математика, физика, биология, химия, история, право, экономика, английский язык.</w:t>
            </w:r>
            <w:proofErr w:type="gramEnd"/>
          </w:p>
        </w:tc>
      </w:tr>
      <w:tr w:rsidR="00E76664" w:rsidRPr="00E76664" w:rsidTr="002B0D9B">
        <w:trPr>
          <w:trHeight w:val="893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Устьянская</w:t>
            </w:r>
            <w:proofErr w:type="spellEnd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 математика, физика, биология, химия, история, право, экономика, английский язык</w:t>
            </w:r>
            <w:proofErr w:type="gramEnd"/>
          </w:p>
        </w:tc>
      </w:tr>
      <w:tr w:rsidR="00E76664" w:rsidRPr="00E76664" w:rsidTr="002B0D9B">
        <w:trPr>
          <w:trHeight w:val="933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Русский, математика, право, история, химия, биология.</w:t>
            </w:r>
          </w:p>
        </w:tc>
      </w:tr>
      <w:tr w:rsidR="00E76664" w:rsidRPr="00E76664" w:rsidTr="002B0D9B">
        <w:trPr>
          <w:trHeight w:val="948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ОСОШ №1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алгебра и начала математического  анализа, история, обществознание</w:t>
            </w:r>
          </w:p>
        </w:tc>
      </w:tr>
      <w:tr w:rsidR="00E76664" w:rsidRPr="00E76664" w:rsidTr="002B0D9B">
        <w:trPr>
          <w:trHeight w:val="622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ОСОШ №2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 физика, право, биология, химия, история,  английский язык.</w:t>
            </w:r>
          </w:p>
        </w:tc>
      </w:tr>
      <w:tr w:rsidR="00E76664" w:rsidRPr="00E76664" w:rsidTr="002B0D9B">
        <w:trPr>
          <w:trHeight w:val="622"/>
        </w:trPr>
        <w:tc>
          <w:tcPr>
            <w:tcW w:w="3119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ОСОШ №2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математика, физика, право, история</w:t>
            </w:r>
          </w:p>
        </w:tc>
      </w:tr>
      <w:tr w:rsidR="00E76664" w:rsidRPr="00E76664" w:rsidTr="002B0D9B">
        <w:trPr>
          <w:trHeight w:val="622"/>
        </w:trPr>
        <w:tc>
          <w:tcPr>
            <w:tcW w:w="3119" w:type="dxa"/>
            <w:vAlign w:val="center"/>
          </w:tcPr>
          <w:p w:rsidR="00E76664" w:rsidRPr="00E76664" w:rsidRDefault="00E76664" w:rsidP="002B0D9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району</w:t>
            </w:r>
            <w:r w:rsidR="002B0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96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58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- 68%</w:t>
            </w:r>
          </w:p>
        </w:tc>
      </w:tr>
    </w:tbl>
    <w:p w:rsidR="00E76664" w:rsidRPr="00E76664" w:rsidRDefault="00E76664" w:rsidP="0060547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76664" w:rsidRPr="00E76664" w:rsidRDefault="00E76664" w:rsidP="00605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b/>
          <w:sz w:val="24"/>
          <w:szCs w:val="24"/>
        </w:rPr>
        <w:t xml:space="preserve">Универсальный учебный план </w:t>
      </w:r>
    </w:p>
    <w:p w:rsidR="00E76664" w:rsidRPr="00E76664" w:rsidRDefault="00E76664" w:rsidP="002B0D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664">
        <w:rPr>
          <w:rFonts w:ascii="Times New Roman" w:eastAsia="Times New Roman" w:hAnsi="Times New Roman" w:cs="Times New Roman"/>
          <w:b/>
          <w:sz w:val="24"/>
          <w:szCs w:val="24"/>
        </w:rPr>
        <w:t>с преподаванием некоторых предметов на угл</w:t>
      </w:r>
      <w:r w:rsidR="002B0D9B">
        <w:rPr>
          <w:rFonts w:ascii="Times New Roman" w:eastAsia="Times New Roman" w:hAnsi="Times New Roman" w:cs="Times New Roman"/>
          <w:b/>
          <w:sz w:val="24"/>
          <w:szCs w:val="24"/>
        </w:rPr>
        <w:t xml:space="preserve">убленном  и  профильном уровне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2"/>
        <w:gridCol w:w="6087"/>
      </w:tblGrid>
      <w:tr w:rsidR="00E76664" w:rsidRPr="00E76664" w:rsidTr="00B84F50">
        <w:trPr>
          <w:trHeight w:val="281"/>
        </w:trPr>
        <w:tc>
          <w:tcPr>
            <w:tcW w:w="3302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предметы</w:t>
            </w:r>
          </w:p>
        </w:tc>
      </w:tr>
      <w:tr w:rsidR="00E76664" w:rsidRPr="00E76664" w:rsidTr="00B84F50">
        <w:trPr>
          <w:trHeight w:val="590"/>
        </w:trPr>
        <w:tc>
          <w:tcPr>
            <w:tcW w:w="3302" w:type="dxa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Строевская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язык, биология)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 язык, биология)</w:t>
            </w:r>
          </w:p>
        </w:tc>
      </w:tr>
      <w:tr w:rsidR="00E76664" w:rsidRPr="00E76664" w:rsidTr="00B84F50">
        <w:trPr>
          <w:trHeight w:val="260"/>
        </w:trPr>
        <w:tc>
          <w:tcPr>
            <w:tcW w:w="3302" w:type="dxa"/>
            <w:vMerge w:val="restart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Киземская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(математика, физика)</w:t>
            </w:r>
          </w:p>
        </w:tc>
      </w:tr>
      <w:tr w:rsidR="00E76664" w:rsidRPr="00E76664" w:rsidTr="00B84F50">
        <w:trPr>
          <w:trHeight w:val="360"/>
        </w:trPr>
        <w:tc>
          <w:tcPr>
            <w:tcW w:w="3302" w:type="dxa"/>
            <w:vMerge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(русский)</w:t>
            </w:r>
          </w:p>
        </w:tc>
      </w:tr>
      <w:tr w:rsidR="00E76664" w:rsidRPr="00E76664" w:rsidTr="00B84F50">
        <w:trPr>
          <w:trHeight w:val="295"/>
        </w:trPr>
        <w:tc>
          <w:tcPr>
            <w:tcW w:w="3302" w:type="dxa"/>
            <w:vMerge w:val="restart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Березницкая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</w:t>
            </w:r>
          </w:p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(русский, обществознание)</w:t>
            </w:r>
          </w:p>
        </w:tc>
      </w:tr>
      <w:tr w:rsidR="00E76664" w:rsidRPr="00E76664" w:rsidTr="00B84F50">
        <w:trPr>
          <w:trHeight w:val="135"/>
        </w:trPr>
        <w:tc>
          <w:tcPr>
            <w:tcW w:w="3302" w:type="dxa"/>
            <w:vMerge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(русский, обществознание)</w:t>
            </w:r>
          </w:p>
        </w:tc>
      </w:tr>
      <w:tr w:rsidR="00E76664" w:rsidRPr="00E76664" w:rsidTr="00B84F50">
        <w:trPr>
          <w:trHeight w:val="590"/>
        </w:trPr>
        <w:tc>
          <w:tcPr>
            <w:tcW w:w="3302" w:type="dxa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Малодорская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(русский)</w:t>
            </w:r>
          </w:p>
        </w:tc>
      </w:tr>
      <w:tr w:rsidR="00E76664" w:rsidRPr="00E76664" w:rsidTr="00B84F50">
        <w:trPr>
          <w:trHeight w:val="295"/>
        </w:trPr>
        <w:tc>
          <w:tcPr>
            <w:tcW w:w="3302" w:type="dxa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Илезская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7" w:type="dxa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(русский)</w:t>
            </w:r>
          </w:p>
        </w:tc>
      </w:tr>
      <w:tr w:rsidR="00E76664" w:rsidRPr="00E76664" w:rsidTr="00B84F50">
        <w:trPr>
          <w:trHeight w:val="615"/>
        </w:trPr>
        <w:tc>
          <w:tcPr>
            <w:tcW w:w="3302" w:type="dxa"/>
            <w:vMerge w:val="restart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Ульяновская СОШ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 (обществознание, право, </w:t>
            </w:r>
            <w:proofErr w:type="gramEnd"/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физика, математика)</w:t>
            </w:r>
          </w:p>
        </w:tc>
      </w:tr>
      <w:tr w:rsidR="00E76664" w:rsidRPr="00E76664" w:rsidTr="00B84F50">
        <w:trPr>
          <w:trHeight w:val="322"/>
        </w:trPr>
        <w:tc>
          <w:tcPr>
            <w:tcW w:w="3302" w:type="dxa"/>
            <w:vMerge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 класс (обществознание, право)</w:t>
            </w:r>
          </w:p>
        </w:tc>
      </w:tr>
      <w:tr w:rsidR="00E76664" w:rsidRPr="00E76664" w:rsidTr="00B84F50">
        <w:trPr>
          <w:trHeight w:val="305"/>
        </w:trPr>
        <w:tc>
          <w:tcPr>
            <w:tcW w:w="3302" w:type="dxa"/>
            <w:vMerge w:val="restart"/>
            <w:vAlign w:val="center"/>
          </w:tcPr>
          <w:p w:rsidR="00E76664" w:rsidRPr="002B0D9B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>Бестужевская</w:t>
            </w:r>
            <w:proofErr w:type="spellEnd"/>
            <w:r w:rsidRPr="002B0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6087" w:type="dxa"/>
            <w:tcBorders>
              <w:bottom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10 класс (русский язык, математика)</w:t>
            </w:r>
          </w:p>
        </w:tc>
      </w:tr>
      <w:tr w:rsidR="00E76664" w:rsidRPr="00E76664" w:rsidTr="00B84F50">
        <w:trPr>
          <w:trHeight w:val="315"/>
        </w:trPr>
        <w:tc>
          <w:tcPr>
            <w:tcW w:w="3302" w:type="dxa"/>
            <w:vMerge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11класс (русский язык)</w:t>
            </w:r>
          </w:p>
        </w:tc>
      </w:tr>
      <w:tr w:rsidR="00E76664" w:rsidRPr="00E76664" w:rsidTr="00B84F50">
        <w:trPr>
          <w:trHeight w:val="295"/>
        </w:trPr>
        <w:tc>
          <w:tcPr>
            <w:tcW w:w="9389" w:type="dxa"/>
            <w:gridSpan w:val="2"/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 в рамках УУП- 29% </w:t>
            </w:r>
          </w:p>
        </w:tc>
      </w:tr>
    </w:tbl>
    <w:p w:rsidR="00E76664" w:rsidRPr="00E76664" w:rsidRDefault="00E76664" w:rsidP="006054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E76664" w:rsidRPr="00E76664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76664">
        <w:rPr>
          <w:rFonts w:ascii="Times New Roman" w:eastAsia="Times New Roman" w:hAnsi="Times New Roman" w:cs="Times New Roman"/>
          <w:i/>
          <w:iCs/>
          <w:sz w:val="24"/>
          <w:u w:val="single"/>
        </w:rPr>
        <w:t>Кадровое обеспечение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В 2018году в школах района работает 385 педагогов.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20"/>
        <w:gridCol w:w="1920"/>
        <w:gridCol w:w="1920"/>
      </w:tblGrid>
      <w:tr w:rsidR="00E76664" w:rsidRPr="00E76664" w:rsidTr="00B84F50">
        <w:trPr>
          <w:trHeight w:val="165"/>
        </w:trPr>
        <w:tc>
          <w:tcPr>
            <w:tcW w:w="3960" w:type="dxa"/>
            <w:vMerge w:val="restart"/>
            <w:tcBorders>
              <w:tl2br w:val="single" w:sz="4" w:space="0" w:color="auto"/>
            </w:tcBorders>
          </w:tcPr>
          <w:p w:rsidR="00E76664" w:rsidRPr="00E76664" w:rsidRDefault="00E76664" w:rsidP="0060547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664" w:rsidRPr="00E76664" w:rsidRDefault="00E76664" w:rsidP="00605473">
            <w:pPr>
              <w:spacing w:after="0" w:line="360" w:lineRule="auto"/>
              <w:ind w:right="2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Годы:</w:t>
            </w:r>
          </w:p>
          <w:p w:rsidR="00E76664" w:rsidRPr="00E76664" w:rsidRDefault="00E76664" w:rsidP="006054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6664" w:rsidRPr="00E76664" w:rsidRDefault="00E76664" w:rsidP="0060547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Образование, квалификация</w:t>
            </w:r>
          </w:p>
        </w:tc>
        <w:tc>
          <w:tcPr>
            <w:tcW w:w="5760" w:type="dxa"/>
            <w:gridSpan w:val="3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району:</w:t>
            </w:r>
          </w:p>
        </w:tc>
      </w:tr>
      <w:tr w:rsidR="00E76664" w:rsidRPr="00E76664" w:rsidTr="00B84F50">
        <w:trPr>
          <w:trHeight w:val="255"/>
        </w:trPr>
        <w:tc>
          <w:tcPr>
            <w:tcW w:w="3960" w:type="dxa"/>
            <w:vMerge/>
            <w:tcBorders>
              <w:tl2br w:val="single" w:sz="4" w:space="0" w:color="auto"/>
            </w:tcBorders>
          </w:tcPr>
          <w:p w:rsidR="00E76664" w:rsidRPr="00E76664" w:rsidRDefault="00E76664" w:rsidP="0060547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664" w:rsidRPr="00E76664" w:rsidTr="00B84F50">
        <w:trPr>
          <w:trHeight w:val="150"/>
        </w:trPr>
        <w:tc>
          <w:tcPr>
            <w:tcW w:w="3960" w:type="dxa"/>
            <w:vMerge/>
            <w:tcBorders>
              <w:tl2br w:val="single" w:sz="4" w:space="0" w:color="auto"/>
            </w:tcBorders>
          </w:tcPr>
          <w:p w:rsidR="00E76664" w:rsidRPr="00E76664" w:rsidRDefault="00E76664" w:rsidP="0060547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hAnsi="Times New Roman" w:cs="Times New Roman"/>
                <w:sz w:val="24"/>
                <w:szCs w:val="24"/>
              </w:rPr>
              <w:t>из 372 педагогов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hAnsi="Times New Roman" w:cs="Times New Roman"/>
                <w:sz w:val="24"/>
                <w:szCs w:val="24"/>
              </w:rPr>
              <w:t>из 403 педагогов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hAnsi="Times New Roman" w:cs="Times New Roman"/>
                <w:sz w:val="24"/>
                <w:szCs w:val="24"/>
              </w:rPr>
              <w:t>из 385 педагогов</w:t>
            </w:r>
          </w:p>
        </w:tc>
      </w:tr>
      <w:tr w:rsidR="00E76664" w:rsidRPr="00E76664" w:rsidTr="00B84F50">
        <w:tc>
          <w:tcPr>
            <w:tcW w:w="3960" w:type="dxa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279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(75%)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289 чел. 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284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(74%)</w:t>
            </w:r>
          </w:p>
        </w:tc>
      </w:tr>
      <w:tr w:rsidR="00E76664" w:rsidRPr="00E76664" w:rsidTr="00B84F50">
        <w:tc>
          <w:tcPr>
            <w:tcW w:w="3960" w:type="dxa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(13%)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(14%)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(18%)</w:t>
            </w:r>
          </w:p>
        </w:tc>
      </w:tr>
      <w:tr w:rsidR="00E76664" w:rsidRPr="00E76664" w:rsidTr="00B84F50">
        <w:tc>
          <w:tcPr>
            <w:tcW w:w="3960" w:type="dxa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(43%)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(39%)</w:t>
            </w:r>
          </w:p>
        </w:tc>
        <w:tc>
          <w:tcPr>
            <w:tcW w:w="1920" w:type="dxa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 чел.</w:t>
            </w:r>
          </w:p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(39%)</w:t>
            </w:r>
          </w:p>
        </w:tc>
      </w:tr>
    </w:tbl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Данные таблицы показывают, что в школах района работают квалифицированные специалисты.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Важными для анализа  перспектив развития образования считаем следующие данные</w:t>
      </w:r>
      <w:r w:rsidRPr="00E76664">
        <w:rPr>
          <w:rFonts w:ascii="Times New Roman" w:eastAsia="Times New Roman" w:hAnsi="Times New Roman" w:cs="Times New Roman"/>
          <w:color w:val="FF0000"/>
          <w:sz w:val="24"/>
        </w:rPr>
        <w:t>.</w:t>
      </w:r>
    </w:p>
    <w:tbl>
      <w:tblPr>
        <w:tblW w:w="499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8"/>
        <w:gridCol w:w="991"/>
        <w:gridCol w:w="1277"/>
        <w:gridCol w:w="1135"/>
        <w:gridCol w:w="989"/>
      </w:tblGrid>
      <w:tr w:rsidR="002B0D9B" w:rsidRPr="00E76664" w:rsidTr="002B0D9B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2016 г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2017 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b/>
                <w:sz w:val="24"/>
              </w:rPr>
              <w:t>2018г</w:t>
            </w:r>
          </w:p>
        </w:tc>
      </w:tr>
      <w:tr w:rsidR="002B0D9B" w:rsidRPr="00E76664" w:rsidTr="002B0D9B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6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единица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4" w:rsidRPr="00E76664" w:rsidRDefault="00E76664" w:rsidP="006054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</w:tr>
      <w:tr w:rsidR="002B0D9B" w:rsidRPr="00E76664" w:rsidTr="002B0D9B">
        <w:trPr>
          <w:trHeight w:val="28"/>
        </w:trPr>
        <w:tc>
          <w:tcPr>
            <w:tcW w:w="2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6664" w:rsidRPr="00E76664" w:rsidRDefault="00E76664" w:rsidP="00605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664" w:rsidRPr="00E76664" w:rsidRDefault="00E76664" w:rsidP="006054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76664">
              <w:rPr>
                <w:rFonts w:ascii="Times New Roman" w:eastAsia="Times New Roman" w:hAnsi="Times New Roman" w:cs="Times New Roman"/>
                <w:sz w:val="24"/>
              </w:rPr>
              <w:t xml:space="preserve">       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B49" w:rsidRDefault="002B0D9B" w:rsidP="002B0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E76664" w:rsidRPr="00E76664" w:rsidRDefault="007D6B49" w:rsidP="002B0D9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2B0D9B">
              <w:rPr>
                <w:rFonts w:ascii="Times New Roman" w:eastAsia="Times New Roman" w:hAnsi="Times New Roman" w:cs="Times New Roman"/>
                <w:sz w:val="24"/>
              </w:rPr>
              <w:t xml:space="preserve"> 19,</w:t>
            </w:r>
            <w:r w:rsidR="00E76664" w:rsidRPr="00E76664"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4" w:rsidRPr="00E76664" w:rsidRDefault="007D6B49" w:rsidP="007D6B4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B0D9B">
              <w:rPr>
                <w:rFonts w:ascii="Times New Roman" w:eastAsia="Calibri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4" w:rsidRPr="00E76664" w:rsidRDefault="002B0D9B" w:rsidP="002B0D9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</w:tr>
    </w:tbl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E76664" w:rsidRDefault="00E76664" w:rsidP="002B0D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lastRenderedPageBreak/>
        <w:t xml:space="preserve">Как показывают данные, численность учащихся в расчете на одного педагогического работника - невысокая. Это объясняется тем, что в  большинстве сельских школах наполняемость класса составляет 3-5 человек. </w:t>
      </w:r>
      <w:proofErr w:type="gramStart"/>
      <w:r w:rsidRPr="00E76664">
        <w:rPr>
          <w:rFonts w:ascii="Times New Roman" w:eastAsia="Times New Roman" w:hAnsi="Times New Roman" w:cs="Times New Roman"/>
          <w:sz w:val="24"/>
        </w:rPr>
        <w:t>Происходит снижение численности обучающихся в сельских школах.</w:t>
      </w:r>
      <w:proofErr w:type="gramEnd"/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Соотношение заработной платы педагогов к средней заработной плате в Архангельской области представлено на диаграмме.</w:t>
      </w:r>
    </w:p>
    <w:p w:rsidR="00E76664" w:rsidRDefault="00E76664" w:rsidP="0060547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C81E855" wp14:editId="2EBAD5CE">
            <wp:extent cx="3547110" cy="236474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6664" w:rsidRPr="00EA67F5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A67F5">
        <w:rPr>
          <w:rFonts w:ascii="Times New Roman" w:eastAsia="Times New Roman" w:hAnsi="Times New Roman" w:cs="Times New Roman"/>
          <w:i/>
          <w:iCs/>
          <w:sz w:val="24"/>
          <w:u w:val="single"/>
        </w:rPr>
        <w:t>Сеть образовательных организаций</w:t>
      </w:r>
    </w:p>
    <w:p w:rsidR="00346045" w:rsidRPr="00EA67F5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67F5">
        <w:rPr>
          <w:rFonts w:ascii="Times New Roman" w:eastAsia="Times New Roman" w:hAnsi="Times New Roman" w:cs="Times New Roman"/>
          <w:sz w:val="24"/>
        </w:rPr>
        <w:t xml:space="preserve">За отчетный период сеть общеобразовательных организаций не менялась, так как вся работа по оптимизации сети  школ была проведена в более ранние сроки. </w:t>
      </w:r>
    </w:p>
    <w:p w:rsidR="00346045" w:rsidRDefault="00346045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67F5">
        <w:rPr>
          <w:rFonts w:ascii="Times New Roman" w:eastAsia="Times New Roman" w:hAnsi="Times New Roman" w:cs="Times New Roman"/>
          <w:sz w:val="24"/>
        </w:rPr>
        <w:t xml:space="preserve">На диаграмме представлены удельный вес числа образовательных организаций находящихся в аварийном состоянии и </w:t>
      </w:r>
      <w:r w:rsidR="002B0D9B">
        <w:rPr>
          <w:rFonts w:ascii="Times New Roman" w:eastAsia="Times New Roman" w:hAnsi="Times New Roman" w:cs="Times New Roman"/>
          <w:sz w:val="24"/>
        </w:rPr>
        <w:t>требующих капитального ремонта.</w:t>
      </w:r>
    </w:p>
    <w:p w:rsidR="002B0D9B" w:rsidRPr="002B0D9B" w:rsidRDefault="002B0D9B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46045" w:rsidRDefault="00346045" w:rsidP="00346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5D455B2F" wp14:editId="48C7F4AA">
            <wp:extent cx="5675630" cy="2301875"/>
            <wp:effectExtent l="0" t="0" r="0" b="0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6045" w:rsidRPr="002B0D9B" w:rsidRDefault="00346045" w:rsidP="002B0D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A67F5">
        <w:rPr>
          <w:rFonts w:ascii="Times New Roman" w:eastAsia="Times New Roman" w:hAnsi="Times New Roman" w:cs="Times New Roman"/>
          <w:sz w:val="24"/>
        </w:rPr>
        <w:t xml:space="preserve">Данные показывают, что в районе проводится работа по созданию современных условий </w:t>
      </w:r>
      <w:r w:rsidRPr="00AB1C78">
        <w:rPr>
          <w:rFonts w:ascii="Times New Roman" w:eastAsia="Times New Roman" w:hAnsi="Times New Roman" w:cs="Times New Roman"/>
          <w:sz w:val="24"/>
        </w:rPr>
        <w:t xml:space="preserve">обучения, но требуется строительство новых зданий школ </w:t>
      </w:r>
      <w:r w:rsidR="002B0D9B">
        <w:rPr>
          <w:rFonts w:ascii="Times New Roman" w:eastAsia="Times New Roman" w:hAnsi="Times New Roman" w:cs="Times New Roman"/>
          <w:sz w:val="24"/>
        </w:rPr>
        <w:t>в п. Октябрьский</w:t>
      </w:r>
      <w:proofErr w:type="gramStart"/>
      <w:r w:rsidR="002B0D9B">
        <w:rPr>
          <w:rFonts w:ascii="Times New Roman" w:eastAsia="Times New Roman" w:hAnsi="Times New Roman" w:cs="Times New Roman"/>
          <w:sz w:val="24"/>
        </w:rPr>
        <w:t xml:space="preserve"> </w:t>
      </w:r>
      <w:r w:rsidR="007D6B49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2B0D9B">
        <w:rPr>
          <w:rFonts w:ascii="Times New Roman" w:eastAsia="Times New Roman" w:hAnsi="Times New Roman" w:cs="Times New Roman"/>
          <w:sz w:val="24"/>
        </w:rPr>
        <w:t xml:space="preserve"> </w:t>
      </w:r>
    </w:p>
    <w:p w:rsidR="007D6B49" w:rsidRDefault="007D6B49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</w:p>
    <w:p w:rsidR="00E76664" w:rsidRPr="009A4D02" w:rsidRDefault="00E76664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A4D02">
        <w:rPr>
          <w:rFonts w:ascii="Times New Roman" w:eastAsia="Times New Roman" w:hAnsi="Times New Roman" w:cs="Times New Roman"/>
          <w:i/>
          <w:iCs/>
          <w:sz w:val="24"/>
          <w:u w:val="single"/>
        </w:rPr>
        <w:t>Условия реализации образовательных программ</w:t>
      </w:r>
    </w:p>
    <w:p w:rsidR="00346045" w:rsidRPr="009A4D02" w:rsidRDefault="00346045" w:rsidP="00346045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</w:rPr>
      </w:pPr>
      <w:r w:rsidRPr="009A4D02">
        <w:rPr>
          <w:rFonts w:ascii="Times New Roman" w:eastAsia="Times New Roman" w:hAnsi="Times New Roman" w:cs="Times New Roman"/>
          <w:i/>
          <w:spacing w:val="15"/>
          <w:sz w:val="24"/>
        </w:rPr>
        <w:t>Материально-техническое и информационное обеспечение</w:t>
      </w:r>
    </w:p>
    <w:p w:rsidR="00346045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A4D02">
        <w:rPr>
          <w:rFonts w:ascii="Times New Roman" w:eastAsia="Times New Roman" w:hAnsi="Times New Roman" w:cs="Times New Roman"/>
          <w:sz w:val="24"/>
        </w:rPr>
        <w:t xml:space="preserve">Общая площадь всех помещений общеобразовательных организаций в расчете на одного учащегося изменилась с </w:t>
      </w:r>
      <w:smartTag w:uri="urn:schemas-microsoft-com:office:smarttags" w:element="metricconverter">
        <w:smartTagPr>
          <w:attr w:name="ProductID" w:val="15,5 м2"/>
        </w:smartTagPr>
        <w:r w:rsidRPr="009A4D02">
          <w:rPr>
            <w:rFonts w:ascii="Times New Roman" w:eastAsia="Times New Roman" w:hAnsi="Times New Roman" w:cs="Times New Roman"/>
            <w:sz w:val="24"/>
          </w:rPr>
          <w:t>15,5 м</w:t>
        </w:r>
        <w:proofErr w:type="gramStart"/>
        <w:r w:rsidRPr="009A4D02">
          <w:rPr>
            <w:rFonts w:ascii="Times New Roman" w:eastAsia="Times New Roman" w:hAnsi="Times New Roman" w:cs="Times New Roman"/>
            <w:sz w:val="24"/>
            <w:vertAlign w:val="superscript"/>
          </w:rPr>
          <w:t>2</w:t>
        </w:r>
      </w:smartTag>
      <w:proofErr w:type="gramEnd"/>
      <w:r w:rsidRPr="009A4D02">
        <w:rPr>
          <w:rFonts w:ascii="Times New Roman" w:eastAsia="Times New Roman" w:hAnsi="Times New Roman" w:cs="Times New Roman"/>
          <w:sz w:val="24"/>
        </w:rPr>
        <w:t xml:space="preserve"> в 2013 году до 15м</w:t>
      </w:r>
      <w:r w:rsidRPr="009A4D02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9A4D02">
        <w:rPr>
          <w:rFonts w:ascii="Times New Roman" w:eastAsia="Times New Roman" w:hAnsi="Times New Roman" w:cs="Times New Roman"/>
          <w:sz w:val="24"/>
        </w:rPr>
        <w:t xml:space="preserve"> в 2017 году.</w:t>
      </w:r>
      <w:r w:rsidR="009A4D02" w:rsidRPr="009A4D02">
        <w:rPr>
          <w:rFonts w:ascii="Times New Roman" w:eastAsia="Times New Roman" w:hAnsi="Times New Roman" w:cs="Times New Roman"/>
          <w:sz w:val="24"/>
        </w:rPr>
        <w:t xml:space="preserve"> Это объясняется тем, что общая площадь,  используемая общеобразовательными организациями, уменьшилась, за счет изменения назначения части зданий (передача другим организациям), а учебная площадь организаций</w:t>
      </w:r>
      <w:proofErr w:type="gramStart"/>
      <w:r w:rsidR="009A4D02" w:rsidRPr="009A4D02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="009A4D02" w:rsidRPr="009A4D02">
        <w:rPr>
          <w:rFonts w:ascii="Times New Roman" w:eastAsia="Times New Roman" w:hAnsi="Times New Roman" w:cs="Times New Roman"/>
          <w:sz w:val="24"/>
        </w:rPr>
        <w:t xml:space="preserve"> осуществляющих образовательную деятельность по образовательным программам начального общего, основного общего, среднего общего , в расчете на одного обучающегося составляет 7,1 м</w:t>
      </w:r>
      <w:r w:rsidR="009A4D02" w:rsidRPr="009A4D02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9A4D02">
        <w:rPr>
          <w:rFonts w:ascii="Times New Roman" w:eastAsia="Times New Roman" w:hAnsi="Times New Roman" w:cs="Times New Roman"/>
          <w:sz w:val="24"/>
        </w:rPr>
        <w:t xml:space="preserve"> </w:t>
      </w:r>
      <w:r w:rsidR="009A4D02" w:rsidRPr="009A4D02">
        <w:rPr>
          <w:rFonts w:ascii="Times New Roman" w:eastAsia="Times New Roman" w:hAnsi="Times New Roman" w:cs="Times New Roman"/>
          <w:sz w:val="24"/>
        </w:rPr>
        <w:t xml:space="preserve">. </w:t>
      </w:r>
      <w:r w:rsidRPr="009A4D02">
        <w:rPr>
          <w:rFonts w:ascii="Times New Roman" w:eastAsia="Times New Roman" w:hAnsi="Times New Roman" w:cs="Times New Roman"/>
          <w:sz w:val="24"/>
        </w:rPr>
        <w:t>Одна из задач муниципального образования – создание в общеобразовательных организациях комфортных условий. Данные представлены на диаграмме.</w:t>
      </w:r>
    </w:p>
    <w:p w:rsidR="002B0D9B" w:rsidRPr="009A4D02" w:rsidRDefault="002B0D9B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Default="00346045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75020FE" wp14:editId="580EAEAD">
            <wp:extent cx="5675630" cy="2112645"/>
            <wp:effectExtent l="0" t="0" r="0" b="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B0D9B" w:rsidRDefault="002B0D9B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EA67F5">
        <w:rPr>
          <w:rFonts w:ascii="Times New Roman" w:eastAsia="Times New Roman" w:hAnsi="Times New Roman" w:cs="Times New Roman"/>
          <w:sz w:val="24"/>
        </w:rPr>
        <w:t>Важным условием развития информатизации общества является обеспечение организации компьютерами и скорость передачи данных. Данные представлены на диаграмме.</w:t>
      </w:r>
      <w:r w:rsidR="002B0D9B" w:rsidRPr="002B0D9B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</w:t>
      </w: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29E57EE9" wp14:editId="6442798C">
            <wp:extent cx="5940425" cy="1783434"/>
            <wp:effectExtent l="0" t="0" r="22225" b="2667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B0D9B" w:rsidRPr="002B0D9B" w:rsidRDefault="002B0D9B" w:rsidP="002B0D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6664" w:rsidRPr="00F615CA" w:rsidRDefault="00E76664" w:rsidP="0060547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  <w:u w:val="single"/>
        </w:rPr>
      </w:pPr>
      <w:r w:rsidRPr="00F615CA">
        <w:rPr>
          <w:rFonts w:ascii="Times New Roman" w:eastAsia="Times New Roman" w:hAnsi="Times New Roman" w:cs="Times New Roman"/>
          <w:i/>
          <w:spacing w:val="15"/>
          <w:sz w:val="24"/>
          <w:u w:val="single"/>
        </w:rPr>
        <w:t>Сохранение здоровья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Важной задачей является сохранение здоровья </w:t>
      </w:r>
      <w:proofErr w:type="gramStart"/>
      <w:r w:rsidRPr="00E76664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76664">
        <w:rPr>
          <w:rFonts w:ascii="Times New Roman" w:eastAsia="Times New Roman" w:hAnsi="Times New Roman" w:cs="Times New Roman"/>
          <w:sz w:val="24"/>
        </w:rPr>
        <w:t xml:space="preserve">.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Охват горячим питанием составил  87% в 2018 году, в  том числе с 1по 4 класс- 99,7%; с 5по11 класс -77,3%. В одной из начальных школ (3 обучающихся) нет возможности организовать горячее питание, поэтому для учащихся предусмотрен перерыв достаточной продолжительности для того, чтобы обучающиеся смогли сходить на обед домой.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91413">
        <w:rPr>
          <w:rFonts w:ascii="Times New Roman" w:eastAsia="Times New Roman" w:hAnsi="Times New Roman" w:cs="Times New Roman"/>
          <w:sz w:val="24"/>
        </w:rPr>
        <w:t>Учитывая проблему увеличения количества детей с нарушением речи, в 201</w:t>
      </w:r>
      <w:r w:rsidR="00605473" w:rsidRPr="00B91413">
        <w:rPr>
          <w:rFonts w:ascii="Times New Roman" w:eastAsia="Times New Roman" w:hAnsi="Times New Roman" w:cs="Times New Roman"/>
          <w:sz w:val="24"/>
        </w:rPr>
        <w:t>8</w:t>
      </w:r>
      <w:r w:rsidRPr="00B91413">
        <w:rPr>
          <w:rFonts w:ascii="Times New Roman" w:eastAsia="Times New Roman" w:hAnsi="Times New Roman" w:cs="Times New Roman"/>
          <w:sz w:val="24"/>
        </w:rPr>
        <w:t xml:space="preserve"> году в общеобразовательных учреждениях были открыты </w:t>
      </w:r>
      <w:proofErr w:type="spellStart"/>
      <w:r w:rsidRPr="00B91413">
        <w:rPr>
          <w:rFonts w:ascii="Times New Roman" w:eastAsia="Times New Roman" w:hAnsi="Times New Roman" w:cs="Times New Roman"/>
          <w:sz w:val="24"/>
        </w:rPr>
        <w:t>логопункты</w:t>
      </w:r>
      <w:proofErr w:type="spellEnd"/>
      <w:r w:rsidRPr="00B91413">
        <w:rPr>
          <w:rFonts w:ascii="Times New Roman" w:eastAsia="Times New Roman" w:hAnsi="Times New Roman" w:cs="Times New Roman"/>
          <w:sz w:val="24"/>
        </w:rPr>
        <w:t xml:space="preserve">. Удельный вес таких организаций составил </w:t>
      </w:r>
      <w:r w:rsidR="00B91413" w:rsidRPr="00B91413">
        <w:rPr>
          <w:rFonts w:ascii="Times New Roman" w:eastAsia="Times New Roman" w:hAnsi="Times New Roman" w:cs="Times New Roman"/>
          <w:sz w:val="24"/>
        </w:rPr>
        <w:t>7</w:t>
      </w:r>
      <w:r w:rsidRPr="00B91413">
        <w:rPr>
          <w:rFonts w:ascii="Times New Roman" w:eastAsia="Times New Roman" w:hAnsi="Times New Roman" w:cs="Times New Roman"/>
          <w:sz w:val="24"/>
        </w:rPr>
        <w:t xml:space="preserve">%. </w:t>
      </w:r>
    </w:p>
    <w:p w:rsidR="00E76664" w:rsidRPr="00F1724A" w:rsidRDefault="00E76664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Большое внимание в общеобразовательных учреждениях уделяется развитию физкультуры и спорта. Во всех школах организована работа школьных спортивных клубов, имеются спортивные площадки. В одном из учреждений (7,14%) занятия проводятся в приспособленном помещении. Поэтому есть потребность в строительстве спортивного за</w:t>
      </w:r>
      <w:r w:rsidR="00F1724A">
        <w:rPr>
          <w:rFonts w:ascii="Times New Roman" w:eastAsia="Times New Roman" w:hAnsi="Times New Roman" w:cs="Times New Roman"/>
          <w:sz w:val="24"/>
        </w:rPr>
        <w:t xml:space="preserve">ла в п. </w:t>
      </w:r>
      <w:proofErr w:type="spellStart"/>
      <w:r w:rsidR="00F1724A">
        <w:rPr>
          <w:rFonts w:ascii="Times New Roman" w:eastAsia="Times New Roman" w:hAnsi="Times New Roman" w:cs="Times New Roman"/>
          <w:sz w:val="24"/>
        </w:rPr>
        <w:t>Илеза</w:t>
      </w:r>
      <w:proofErr w:type="spellEnd"/>
      <w:r w:rsidR="00F1724A">
        <w:rPr>
          <w:rFonts w:ascii="Times New Roman" w:eastAsia="Times New Roman" w:hAnsi="Times New Roman" w:cs="Times New Roman"/>
          <w:sz w:val="24"/>
        </w:rPr>
        <w:t xml:space="preserve"> и п. Октябрьский.</w:t>
      </w:r>
    </w:p>
    <w:p w:rsidR="00E76664" w:rsidRPr="00E76664" w:rsidRDefault="00E76664" w:rsidP="00605473">
      <w:pPr>
        <w:numPr>
          <w:ilvl w:val="1"/>
          <w:numId w:val="0"/>
        </w:num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pacing w:val="15"/>
          <w:sz w:val="24"/>
          <w:u w:val="single"/>
        </w:rPr>
      </w:pPr>
      <w:r w:rsidRPr="00E76664">
        <w:rPr>
          <w:rFonts w:ascii="Times New Roman" w:eastAsia="Times New Roman" w:hAnsi="Times New Roman" w:cs="Times New Roman"/>
          <w:i/>
          <w:spacing w:val="15"/>
          <w:sz w:val="24"/>
          <w:u w:val="single"/>
        </w:rPr>
        <w:t xml:space="preserve">Обеспечение безопасности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За отчетный период Управлением образования и образовательными организациями проводится плановая работа по созданию условий, обеспечивающих комплексную безопасность. В 2018 году основными показателями деятельности являются: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Удельный вес числа организаций, имеющих пожарные краны и рукава, в общем числе общеобразовательных организаций – 35,7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дымовые </w:t>
      </w:r>
      <w:proofErr w:type="spellStart"/>
      <w:r w:rsidRPr="00E76664">
        <w:rPr>
          <w:rFonts w:ascii="Times New Roman" w:eastAsia="Times New Roman" w:hAnsi="Times New Roman" w:cs="Times New Roman"/>
          <w:sz w:val="24"/>
        </w:rPr>
        <w:t>извещатели</w:t>
      </w:r>
      <w:proofErr w:type="spellEnd"/>
      <w:r w:rsidRPr="00E76664">
        <w:rPr>
          <w:rFonts w:ascii="Times New Roman" w:eastAsia="Times New Roman" w:hAnsi="Times New Roman" w:cs="Times New Roman"/>
          <w:sz w:val="24"/>
        </w:rPr>
        <w:t>, в общем числе общеобразовательных организаций – 100</w:t>
      </w:r>
    </w:p>
    <w:p w:rsidR="00E76664" w:rsidRPr="00F615CA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615CA">
        <w:rPr>
          <w:rFonts w:ascii="Times New Roman" w:eastAsia="Times New Roman" w:hAnsi="Times New Roman" w:cs="Times New Roman"/>
          <w:sz w:val="24"/>
        </w:rPr>
        <w:t>Удельный вес числа организаций, имеющих "тревожную кнопку", в общем числе общеобразовательных организаций – 0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>Удельный вес числа организаций, имеющих охрану, в общем числе общеобразовательных организаций - 0,00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76664">
        <w:rPr>
          <w:rFonts w:ascii="Times New Roman" w:eastAsia="Times New Roman" w:hAnsi="Times New Roman" w:cs="Times New Roman"/>
          <w:sz w:val="24"/>
        </w:rPr>
        <w:t xml:space="preserve">Удельный вес числа организаций, имеющих систему видеонаблюдения, в общем числе общеобразовательных организаций 42,8 </w:t>
      </w:r>
    </w:p>
    <w:p w:rsidR="00E76664" w:rsidRPr="00E76664" w:rsidRDefault="00E76664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0A8F9E8" wp14:editId="7D880A5A">
            <wp:extent cx="5675630" cy="190754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40C92" w:rsidRDefault="00940C92" w:rsidP="00940C92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FF0000"/>
          <w:sz w:val="24"/>
          <w:u w:val="single"/>
        </w:rPr>
      </w:pPr>
    </w:p>
    <w:p w:rsidR="00940C92" w:rsidRPr="00940C92" w:rsidRDefault="00940C92" w:rsidP="00940C92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40C92">
        <w:rPr>
          <w:rFonts w:ascii="Times New Roman" w:eastAsia="Times New Roman" w:hAnsi="Times New Roman" w:cs="Times New Roman"/>
          <w:i/>
          <w:iCs/>
          <w:sz w:val="24"/>
          <w:u w:val="single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940C92" w:rsidRP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 xml:space="preserve">Посещают  ДОУ -  11 детей-инвалидов и 238 детей  с ОВЗ. Также как и ранее в дошкольном образовании, основную часть детей составляют дети с задержкой психического развития и нарушениями речи. </w:t>
      </w:r>
    </w:p>
    <w:p w:rsidR="00940C92" w:rsidRP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 xml:space="preserve">В 2018 году в школах района обучались 51  ребенок-инвалид и 117 детей с ОВЗ. Из них 27 детей обучаются на дому. Удельный вес численности детей с ОВЗ, а также детей-инвалидов,  обучающихся в классах, не являющихся специальными (коррекционными) – 4,2. Одной из основных задач, которые необходимо решать – создание условий для инклюзии. Для реализации полного комплекса мер необходимо, чтобы в школе появились узкие специалисты – учителя-логопеды, учителя-дефектологи. В 2018 году в одной ОО был учитель-логопед. Вся работа с такой группой лиц в школах ведется в рамках программы коррекционно-развивающей работы. </w:t>
      </w:r>
    </w:p>
    <w:p w:rsidR="00940C92" w:rsidRPr="00940C92" w:rsidRDefault="00940C92" w:rsidP="00940C92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940C92">
        <w:rPr>
          <w:rFonts w:ascii="Times New Roman" w:eastAsia="Times New Roman" w:hAnsi="Times New Roman" w:cs="Times New Roman"/>
          <w:i/>
          <w:iCs/>
          <w:sz w:val="24"/>
          <w:u w:val="single"/>
        </w:rPr>
        <w:t>Качество образования</w:t>
      </w:r>
    </w:p>
    <w:p w:rsid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Основными результатами реализации основных образовательных программ являются результаты обучения выпускников. Приведем основные результаты, полученные выпускниками, освоившими образовательные программы основного общего образования.</w:t>
      </w:r>
    </w:p>
    <w:p w:rsidR="00940C92" w:rsidRPr="00F1724A" w:rsidRDefault="00F1724A" w:rsidP="00F172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19E0023F" wp14:editId="41C2D825">
            <wp:extent cx="5940425" cy="1758506"/>
            <wp:effectExtent l="0" t="0" r="22225" b="13335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40C92" w:rsidRPr="001D12E6" w:rsidRDefault="00940C92" w:rsidP="00940C92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FF0000"/>
          <w:sz w:val="24"/>
          <w:u w:val="single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1449104"/>
            <wp:effectExtent l="0" t="0" r="22225" b="1778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40C92" w:rsidRP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Данные показывают, что результаты освоения программ основного общего образования остаются  стабильными.</w:t>
      </w:r>
    </w:p>
    <w:p w:rsidR="00940C92" w:rsidRPr="00940C92" w:rsidRDefault="00940C92" w:rsidP="00940C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Приведем основные результаты, полученные выпускниками, освоившими образовательные программы среднего общего образования.</w:t>
      </w:r>
    </w:p>
    <w:p w:rsidR="00940C92" w:rsidRPr="00940C92" w:rsidRDefault="00940C92" w:rsidP="00940C92">
      <w:pPr>
        <w:spacing w:after="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2C92514" wp14:editId="29A05DBD">
            <wp:extent cx="5857875" cy="13430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40C92" w:rsidRPr="00940C92" w:rsidRDefault="00940C92" w:rsidP="00940C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C92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940C92" w:rsidRDefault="00940C92" w:rsidP="00940C92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0838DDAD" wp14:editId="089CEA4D">
            <wp:extent cx="5829300" cy="132397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40C92" w:rsidRPr="00346045" w:rsidRDefault="00940C92" w:rsidP="003460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40C92">
        <w:rPr>
          <w:rFonts w:ascii="Times New Roman" w:eastAsia="Times New Roman" w:hAnsi="Times New Roman" w:cs="Times New Roman"/>
          <w:sz w:val="24"/>
        </w:rPr>
        <w:t>М</w:t>
      </w:r>
      <w:r w:rsidR="00346045">
        <w:rPr>
          <w:rFonts w:ascii="Times New Roman" w:eastAsia="Times New Roman" w:hAnsi="Times New Roman" w:cs="Times New Roman"/>
          <w:sz w:val="24"/>
        </w:rPr>
        <w:t>атематика (профильный уровень)</w:t>
      </w:r>
    </w:p>
    <w:p w:rsidR="001D12E6" w:rsidRPr="004418BB" w:rsidRDefault="001D12E6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4418BB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Финансово-экономическая деятельность </w:t>
      </w:r>
    </w:p>
    <w:p w:rsidR="00346045" w:rsidRPr="004418BB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418BB">
        <w:rPr>
          <w:rFonts w:ascii="Times New Roman" w:eastAsia="Times New Roman" w:hAnsi="Times New Roman" w:cs="Times New Roman"/>
          <w:sz w:val="24"/>
        </w:rPr>
        <w:t xml:space="preserve">В целях повышения эффективности деятельности образовательной организации важно понимать, какой объем средств поступает в ОО в расчете на одного ученика. </w:t>
      </w:r>
    </w:p>
    <w:p w:rsidR="00346045" w:rsidRPr="004418BB" w:rsidRDefault="00346045" w:rsidP="003460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418BB">
        <w:rPr>
          <w:rFonts w:ascii="Times New Roman" w:eastAsia="Times New Roman" w:hAnsi="Times New Roman" w:cs="Times New Roman"/>
          <w:sz w:val="24"/>
        </w:rPr>
        <w:t xml:space="preserve">В последние годы образовательные организации </w:t>
      </w:r>
      <w:proofErr w:type="spellStart"/>
      <w:r w:rsidRPr="004418BB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4418BB">
        <w:rPr>
          <w:rFonts w:ascii="Times New Roman" w:eastAsia="Times New Roman" w:hAnsi="Times New Roman" w:cs="Times New Roman"/>
          <w:sz w:val="24"/>
        </w:rPr>
        <w:t xml:space="preserve"> района начинают решать вопросы по организации иной приносящей доход деятельности. В школах развиваются платные образовательные услуги, ведутся программы профессионального обучения (подготовка водителей категории «В»), идет реализация продукции через школьные столовые. Изменения, которые происходят в этом направлении, приведены на диаграмме ниже.</w:t>
      </w:r>
    </w:p>
    <w:p w:rsidR="00346045" w:rsidRPr="001D12E6" w:rsidRDefault="00346045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69F1381F" wp14:editId="6602F7D8">
            <wp:extent cx="5675630" cy="1529080"/>
            <wp:effectExtent l="0" t="0" r="0" b="0"/>
            <wp:docPr id="27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D12E6" w:rsidRPr="001D12E6" w:rsidRDefault="001D12E6" w:rsidP="00605473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1D12E6">
        <w:rPr>
          <w:rFonts w:ascii="Times New Roman" w:eastAsia="Times New Roman" w:hAnsi="Times New Roman" w:cs="Times New Roman"/>
          <w:i/>
          <w:iCs/>
          <w:sz w:val="24"/>
          <w:u w:val="single"/>
        </w:rPr>
        <w:t>Выводы</w:t>
      </w:r>
    </w:p>
    <w:p w:rsidR="001D12E6" w:rsidRPr="001D12E6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D12E6">
        <w:rPr>
          <w:rFonts w:ascii="Times New Roman" w:eastAsia="Times New Roman" w:hAnsi="Times New Roman" w:cs="Times New Roman"/>
          <w:sz w:val="24"/>
        </w:rPr>
        <w:t xml:space="preserve">Приведенные данные показывают, что Управлению образования и образовательным организациям </w:t>
      </w:r>
      <w:proofErr w:type="spellStart"/>
      <w:r w:rsidRPr="001D12E6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D12E6">
        <w:rPr>
          <w:rFonts w:ascii="Times New Roman" w:eastAsia="Times New Roman" w:hAnsi="Times New Roman" w:cs="Times New Roman"/>
          <w:sz w:val="24"/>
        </w:rPr>
        <w:t xml:space="preserve"> района необходимо проводить работу по повышению качества образования. В целях реализации данной задачи в школах с низкими результатами обучения необходимо повышать профессиональный уровень учителя, выстраивая индивидуальные маршруты повышения квалификации. Управлением образования разработана программа повышения качества образования на 2018-2020 годы.  Образовательные организации района формируют план КПК, который будет реализовываться через  Государственное автономное учреждение Архангельской области «Архангельский областной институт открытого образования» и </w:t>
      </w:r>
      <w:r w:rsidRPr="001D1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Федеральное государственное автономное образовательное учреждение высшего образования «Северный (Арктический) федеральный университет имени М. В. Ломоносова».</w:t>
      </w:r>
      <w:r w:rsidRPr="001D12E6">
        <w:rPr>
          <w:rFonts w:ascii="Times New Roman" w:eastAsia="Times New Roman" w:hAnsi="Times New Roman" w:cs="Times New Roman"/>
          <w:sz w:val="24"/>
        </w:rPr>
        <w:t xml:space="preserve"> </w:t>
      </w:r>
    </w:p>
    <w:p w:rsidR="001D12E6" w:rsidRPr="001D12E6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D12E6">
        <w:rPr>
          <w:rFonts w:ascii="Times New Roman" w:eastAsia="Times New Roman" w:hAnsi="Times New Roman" w:cs="Times New Roman"/>
          <w:sz w:val="24"/>
        </w:rPr>
        <w:t xml:space="preserve">Необходимо повышать мотивацию детей и подростков на получение качественного образования. Данная работа проводится через образовательные организации путем реализации программ </w:t>
      </w:r>
      <w:proofErr w:type="spellStart"/>
      <w:r w:rsidRPr="001D12E6">
        <w:rPr>
          <w:rFonts w:ascii="Times New Roman" w:eastAsia="Times New Roman" w:hAnsi="Times New Roman" w:cs="Times New Roman"/>
          <w:sz w:val="24"/>
        </w:rPr>
        <w:t>предпрофильной</w:t>
      </w:r>
      <w:proofErr w:type="spellEnd"/>
      <w:r w:rsidRPr="001D12E6">
        <w:rPr>
          <w:rFonts w:ascii="Times New Roman" w:eastAsia="Times New Roman" w:hAnsi="Times New Roman" w:cs="Times New Roman"/>
          <w:sz w:val="24"/>
        </w:rPr>
        <w:t xml:space="preserve"> подготовки и профильного обучения, обучения на уровне среднего общего образования по индивидуальным учебным планам</w:t>
      </w:r>
      <w:r w:rsidRPr="001D12E6"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r w:rsidRPr="001D12E6">
        <w:rPr>
          <w:rFonts w:ascii="Times New Roman" w:eastAsia="Times New Roman" w:hAnsi="Times New Roman" w:cs="Times New Roman"/>
          <w:sz w:val="24"/>
        </w:rPr>
        <w:t>С 2018 года в 7-ми  школах района  реализуется  ФГОС среднего общего образования.</w:t>
      </w:r>
    </w:p>
    <w:p w:rsidR="001D12E6" w:rsidRPr="00F94CD1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94CD1">
        <w:rPr>
          <w:rFonts w:ascii="Times New Roman" w:eastAsia="Times New Roman" w:hAnsi="Times New Roman" w:cs="Times New Roman"/>
          <w:sz w:val="24"/>
        </w:rPr>
        <w:t>Одной из наиболее важных задач мы считаем оказание адресной квалифицированной помощи детям-инвалидам и детям с ОВЗ, обучающимся в общеобразовательных организациях. Как уже отмечалось выше, специальных (коррекционных) классов в районе нет. Дети обучаются вместе со своими сверстниками по основным общеобразовательным программам и на дому по медицинским показаниям. Важно сформировать у педагогов новую  компетентность – работа с детьми с особыми потребностями обучения.</w:t>
      </w:r>
    </w:p>
    <w:p w:rsidR="001D12E6" w:rsidRPr="001D12E6" w:rsidRDefault="001D12E6" w:rsidP="006054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D12E6">
        <w:rPr>
          <w:rFonts w:ascii="Times New Roman" w:eastAsia="Times New Roman" w:hAnsi="Times New Roman" w:cs="Times New Roman"/>
          <w:sz w:val="24"/>
        </w:rPr>
        <w:t xml:space="preserve">Во время обучения в школе ребенок должен проявить свои способности. Важно продолжить формировать в районе систему выявления и поддержки талантливых детей. </w:t>
      </w:r>
    </w:p>
    <w:p w:rsidR="001D12E6" w:rsidRPr="001D12E6" w:rsidRDefault="001D12E6" w:rsidP="00605473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848" w:rsidRPr="00E54848" w:rsidRDefault="00E54848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8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2.3. Сведения о развитии дополнительного образования детей и взрослых</w:t>
      </w:r>
    </w:p>
    <w:p w:rsidR="00E54848" w:rsidRPr="00E54848" w:rsidRDefault="00E54848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Введение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  Основные задачи, стоящие перед образовательными организациями на 2018 год: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- сохранение контингента </w:t>
      </w:r>
      <w:proofErr w:type="gramStart"/>
      <w:r w:rsidRPr="00E54848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54848">
        <w:rPr>
          <w:rFonts w:ascii="Times New Roman" w:eastAsia="Times New Roman" w:hAnsi="Times New Roman" w:cs="Times New Roman"/>
          <w:sz w:val="24"/>
        </w:rPr>
        <w:t>, охваченных программами дополнительного образования;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- увеличение численности обучающихся, участвующих в различных конкурсах, соревнованиях и т.д.;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- увеличение доли детей, в общей численности обучающихся, занимающихся в объединениях технической, социально-педагогической, </w:t>
      </w:r>
      <w:proofErr w:type="gramStart"/>
      <w:r w:rsidRPr="00E54848">
        <w:rPr>
          <w:rFonts w:ascii="Times New Roman" w:eastAsia="Times New Roman" w:hAnsi="Times New Roman" w:cs="Times New Roman"/>
          <w:sz w:val="24"/>
        </w:rPr>
        <w:t>естественно-научной</w:t>
      </w:r>
      <w:proofErr w:type="gramEnd"/>
      <w:r w:rsidRPr="00E54848">
        <w:rPr>
          <w:rFonts w:ascii="Times New Roman" w:eastAsia="Times New Roman" w:hAnsi="Times New Roman" w:cs="Times New Roman"/>
          <w:sz w:val="24"/>
        </w:rPr>
        <w:t xml:space="preserve"> направленности и в области физической культуры и спорта.</w:t>
      </w:r>
    </w:p>
    <w:p w:rsidR="00E54848" w:rsidRPr="00E54848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Контингент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12B5C84" wp14:editId="4788FE0F">
            <wp:extent cx="5060950" cy="1718310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54848" w:rsidRPr="00E54848" w:rsidRDefault="00E54848" w:rsidP="00627DC5">
      <w:pPr>
        <w:tabs>
          <w:tab w:val="left" w:pos="1905"/>
          <w:tab w:val="right" w:pos="9355"/>
        </w:tabs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Снижение охвата детей программами дополнительного образования  с 2017 года объясняется разными подходами к подсчету детей.  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Программы дополнительного образования реализуются  общеобразовательными организациями через  школьные спортивные  и  интеллектуальные клубы,   </w:t>
      </w:r>
      <w:proofErr w:type="spellStart"/>
      <w:r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Устьянский</w:t>
      </w:r>
      <w:proofErr w:type="spellEnd"/>
      <w:r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юношеский центр структурное подразделение МБОУ «ОСОШ № 2»,</w:t>
      </w:r>
      <w:r w:rsidRPr="00E54848">
        <w:rPr>
          <w:rFonts w:ascii="Times New Roman" w:hAnsi="Times New Roman" w:cs="Times New Roman"/>
          <w:sz w:val="24"/>
          <w:szCs w:val="24"/>
        </w:rPr>
        <w:t xml:space="preserve"> Октябрьская </w:t>
      </w:r>
      <w:proofErr w:type="spellStart"/>
      <w:r w:rsidRPr="00E5484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E54848">
        <w:rPr>
          <w:rFonts w:ascii="Times New Roman" w:hAnsi="Times New Roman" w:cs="Times New Roman"/>
          <w:sz w:val="24"/>
          <w:szCs w:val="24"/>
        </w:rPr>
        <w:t xml:space="preserve"> – юношеская спортивная школа структурное подразделение МБОУ «ОСОШ № 2»</w:t>
      </w:r>
      <w:r w:rsidRPr="00E54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и учреждения культуры. 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По реализуемым направленностям программы делятся следующим образом: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D875193" wp14:editId="7B516338">
            <wp:extent cx="6315075" cy="1495425"/>
            <wp:effectExtent l="0" t="0" r="9525" b="9525"/>
            <wp:docPr id="21" name="Диаграм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Приведенные данные показывают, что за  последний год увеличивается число детей, занимающихся в объединениях технической и спортивной направленности.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sz w:val="24"/>
        </w:rPr>
        <w:tab/>
      </w: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Кадровое обеспечение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lastRenderedPageBreak/>
        <w:t xml:space="preserve">Основной кадровой проблемой в системе дополнительного образования сельских районов считаем большое количество совместителей, работающих с детьми. В этом случае требуется обеспечить </w:t>
      </w:r>
      <w:proofErr w:type="gramStart"/>
      <w:r w:rsidRPr="00E54848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Pr="00E54848">
        <w:rPr>
          <w:rFonts w:ascii="Times New Roman" w:eastAsia="Times New Roman" w:hAnsi="Times New Roman" w:cs="Times New Roman"/>
          <w:sz w:val="24"/>
        </w:rPr>
        <w:t xml:space="preserve"> деятельностью всех объединений. Данный контроль осуществляется через «</w:t>
      </w:r>
      <w:proofErr w:type="spellStart"/>
      <w:r w:rsidRPr="00E54848">
        <w:rPr>
          <w:rFonts w:ascii="Times New Roman" w:eastAsia="Times New Roman" w:hAnsi="Times New Roman" w:cs="Times New Roman"/>
          <w:sz w:val="24"/>
        </w:rPr>
        <w:t>Дневник</w:t>
      </w:r>
      <w:proofErr w:type="gramStart"/>
      <w:r w:rsidRPr="00E54848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E54848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 xml:space="preserve"> ОДО» и «Навигатор».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Выполняя программу повышения эффективности и качества услуг в сфере дополнительного образования, образовательные организации  района работают над повышением заработной платы педагогов дополнительного образования.</w:t>
      </w:r>
    </w:p>
    <w:p w:rsidR="00E54848" w:rsidRPr="00AC57D4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C57D4">
        <w:rPr>
          <w:rFonts w:ascii="Times New Roman" w:eastAsia="Times New Roman" w:hAnsi="Times New Roman" w:cs="Times New Roman"/>
          <w:sz w:val="24"/>
        </w:rPr>
        <w:t xml:space="preserve">Соотношение заработной платы педагогов дополнительного образования, работающих в учреждениях подведомственных Управлению образования к средней заработной плате учителей в Архангельской области </w:t>
      </w:r>
      <w:proofErr w:type="gramStart"/>
      <w:r w:rsidRPr="00AC57D4">
        <w:rPr>
          <w:rFonts w:ascii="Times New Roman" w:eastAsia="Times New Roman" w:hAnsi="Times New Roman" w:cs="Times New Roman"/>
          <w:sz w:val="24"/>
        </w:rPr>
        <w:t>представлена</w:t>
      </w:r>
      <w:proofErr w:type="gramEnd"/>
      <w:r w:rsidRPr="00AC57D4">
        <w:rPr>
          <w:rFonts w:ascii="Times New Roman" w:eastAsia="Times New Roman" w:hAnsi="Times New Roman" w:cs="Times New Roman"/>
          <w:sz w:val="24"/>
        </w:rPr>
        <w:t xml:space="preserve"> на диаграмме.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7C584E0E" wp14:editId="62B772E2">
            <wp:extent cx="4036060" cy="1560830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4848" w:rsidRPr="00E54848" w:rsidRDefault="00E54848" w:rsidP="00E54848"/>
    <w:p w:rsidR="00E54848" w:rsidRPr="00E54848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Сеть образовательных организаций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С 2013 года в системе дополнительного образования  </w:t>
      </w:r>
      <w:proofErr w:type="spellStart"/>
      <w:r w:rsidRPr="00E54848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 xml:space="preserve"> района происходят изменения.  До 2013 года в систему образования входило 5 учреждений, то в 2018 году их 2, причем все они после реорганизации являются структурными подразделениями общеобразовательного учреждения. Во всех общеобразовательных учреждениях созданы и работают школьные спортивные клубы.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Зданий, находящихся в аварийном состоянии нет. Требуют капитального ремонта здания 2 учреждений (100%).  </w:t>
      </w:r>
    </w:p>
    <w:p w:rsidR="00E54848" w:rsidRPr="00E54848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Материально-техническое и информационное обеспечение 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Данных по площадям учреждений дополнительного образования, подведомственных другому структурному подразделению администрации Управление образования не располагает.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Учреждения дополнительного образования   имеют  водопровод и  центральное отопление.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Число персональных компьютеров на 100 обучающихся представлено на диаграмме.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32BF356C" wp14:editId="6C714A98">
            <wp:extent cx="5675630" cy="1907540"/>
            <wp:effectExtent l="0" t="0" r="0" b="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54848" w:rsidRPr="00E54848" w:rsidRDefault="00E54848" w:rsidP="00E54848">
      <w:pPr>
        <w:keepNext/>
        <w:keepLines/>
        <w:spacing w:before="40"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Учебные и </w:t>
      </w:r>
      <w:proofErr w:type="spellStart"/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внеучебные</w:t>
      </w:r>
      <w:proofErr w:type="spellEnd"/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 xml:space="preserve"> достижения </w:t>
      </w:r>
    </w:p>
    <w:p w:rsidR="00BB740A" w:rsidRPr="00791A97" w:rsidRDefault="00E54848" w:rsidP="00BB74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848">
        <w:rPr>
          <w:rFonts w:ascii="Times New Roman" w:eastAsia="Times New Roman" w:hAnsi="Times New Roman" w:cs="Times New Roman"/>
          <w:iCs/>
          <w:sz w:val="24"/>
        </w:rPr>
        <w:t xml:space="preserve">            В 2018 году  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40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48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 среднего общего образования получили медали:  </w:t>
      </w:r>
      <w:r w:rsidR="00BB740A" w:rsidRPr="00BB740A">
        <w:rPr>
          <w:rFonts w:ascii="Times New Roman" w:eastAsia="Times New Roman" w:hAnsi="Times New Roman" w:cs="Times New Roman"/>
          <w:sz w:val="24"/>
          <w:szCs w:val="24"/>
        </w:rPr>
        <w:t>Федеральные золотые –11 (9%)</w:t>
      </w:r>
      <w:r w:rsidR="00BB740A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740A" w:rsidRPr="00BB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7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золотые – 11 (9</w:t>
      </w:r>
      <w:r w:rsidR="00BB740A" w:rsidRPr="0079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</w:p>
    <w:p w:rsidR="00E54848" w:rsidRPr="00E54848" w:rsidRDefault="00BB740A" w:rsidP="00BB740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79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серебряны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– 1 (0,7</w:t>
      </w:r>
      <w:r w:rsidRPr="00791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Ежегодно воспитанники, занимающиеся по дополнительным образовательным программам, становятся победителями и призерами различных конкурсов, смотров, соревнований. Призовые места в первенстве Архангельской области по </w:t>
      </w:r>
      <w:proofErr w:type="spellStart"/>
      <w:r w:rsidRPr="00E54848">
        <w:rPr>
          <w:rFonts w:ascii="Times New Roman" w:eastAsia="Times New Roman" w:hAnsi="Times New Roman" w:cs="Times New Roman"/>
          <w:sz w:val="24"/>
        </w:rPr>
        <w:t>минифутболу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>, первенстве Архангельской области по пневматическому биатлону, в областной спартакиаде по баскетболу и волейболу, в областных соревнованиях по лыжным гонкам и других видах спорта.</w:t>
      </w:r>
      <w:r w:rsidR="00454C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E54848">
        <w:rPr>
          <w:rFonts w:ascii="Times New Roman" w:eastAsia="Times New Roman" w:hAnsi="Times New Roman" w:cs="Times New Roman"/>
          <w:sz w:val="24"/>
        </w:rPr>
        <w:t>Устьянский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 xml:space="preserve"> район занял 1 место в областной спартакиаде среди обучающихся в образовательных учреждениях Архангельской области. </w:t>
      </w:r>
      <w:proofErr w:type="gramEnd"/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>Обучающиеся стали победителями регионального форума гражданских инициатив проект «Долгая дорога домой», призовые места в региональных отборочных соревнованиях по робототехнике.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           На очный этап  о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бластной  учебно-исследовательской  конференции   «Юность Поморья»  в 2018 году были приглашены </w:t>
      </w:r>
      <w:r w:rsidR="00235426" w:rsidRPr="0023542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35426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, из них   </w:t>
      </w:r>
      <w:r w:rsidR="0023542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 человек получили призовые места.</w:t>
      </w:r>
    </w:p>
    <w:p w:rsidR="00E54848" w:rsidRPr="00E54848" w:rsidRDefault="00E54848" w:rsidP="00E548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848">
        <w:rPr>
          <w:rFonts w:ascii="Times New Roman" w:eastAsia="Times New Roman" w:hAnsi="Times New Roman" w:cs="Times New Roman"/>
          <w:sz w:val="24"/>
          <w:szCs w:val="24"/>
        </w:rPr>
        <w:t xml:space="preserve">         В региональном этапе Всероссийской олимпиады школьников  по  технологии, ОБЖ, обществознанию и физической культуре заняли призовые места.</w:t>
      </w:r>
    </w:p>
    <w:p w:rsid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Все обучающиеся, ставшие победителями районных, областных и  Всероссийских соревнований и конкурсов   становятся участниками итогового районного праздника «Юные дарования </w:t>
      </w:r>
      <w:proofErr w:type="spellStart"/>
      <w:r w:rsidRPr="00E54848">
        <w:rPr>
          <w:rFonts w:ascii="Times New Roman" w:eastAsia="Times New Roman" w:hAnsi="Times New Roman" w:cs="Times New Roman"/>
          <w:sz w:val="24"/>
        </w:rPr>
        <w:t>Устьи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>».</w:t>
      </w:r>
    </w:p>
    <w:p w:rsidR="00346045" w:rsidRPr="004418BB" w:rsidRDefault="00346045" w:rsidP="00346045">
      <w:pPr>
        <w:keepNext/>
        <w:keepLines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4418BB">
        <w:rPr>
          <w:rFonts w:ascii="Times New Roman" w:eastAsia="Times New Roman" w:hAnsi="Times New Roman" w:cs="Times New Roman"/>
          <w:i/>
          <w:iCs/>
          <w:sz w:val="24"/>
          <w:u w:val="single"/>
        </w:rPr>
        <w:lastRenderedPageBreak/>
        <w:t>Финансово-экономическая деятельность организаций</w:t>
      </w:r>
    </w:p>
    <w:p w:rsidR="00346045" w:rsidRPr="00E54848" w:rsidRDefault="00346045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1E42E74F" wp14:editId="07B08D4E">
            <wp:extent cx="5675630" cy="1529080"/>
            <wp:effectExtent l="0" t="0" r="0" b="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1724A" w:rsidRDefault="00F1724A" w:rsidP="00E54848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</w:p>
    <w:p w:rsidR="00E54848" w:rsidRPr="00E54848" w:rsidRDefault="00E54848" w:rsidP="00E54848">
      <w:pPr>
        <w:keepNext/>
        <w:keepLines/>
        <w:spacing w:before="40"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u w:val="single"/>
        </w:rPr>
      </w:pPr>
      <w:r w:rsidRPr="00E54848">
        <w:rPr>
          <w:rFonts w:ascii="Times New Roman" w:eastAsia="Times New Roman" w:hAnsi="Times New Roman" w:cs="Times New Roman"/>
          <w:i/>
          <w:iCs/>
          <w:sz w:val="24"/>
          <w:u w:val="single"/>
        </w:rPr>
        <w:t>Выводы</w:t>
      </w:r>
    </w:p>
    <w:p w:rsidR="00E54848" w:rsidRDefault="00E54848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</w:rPr>
      </w:pPr>
      <w:r w:rsidRPr="00E54848">
        <w:rPr>
          <w:rFonts w:ascii="Times New Roman" w:eastAsia="Times New Roman" w:hAnsi="Times New Roman" w:cs="Times New Roman"/>
          <w:sz w:val="24"/>
        </w:rPr>
        <w:t xml:space="preserve">Таким образом, можно отметить, что на территории </w:t>
      </w:r>
      <w:proofErr w:type="spellStart"/>
      <w:r w:rsidRPr="00E54848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E54848">
        <w:rPr>
          <w:rFonts w:ascii="Times New Roman" w:eastAsia="Times New Roman" w:hAnsi="Times New Roman" w:cs="Times New Roman"/>
          <w:sz w:val="24"/>
        </w:rPr>
        <w:t xml:space="preserve"> решена проблема доступности дополнительного образования. В тоже время в рамках реализации Концепции дополнительного образования следует искать новые формы работы с детьми, развивать</w:t>
      </w:r>
    </w:p>
    <w:p w:rsidR="00F1724A" w:rsidRPr="001D12E6" w:rsidRDefault="00F1724A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54848" w:rsidRPr="00972C55" w:rsidRDefault="00454C60" w:rsidP="00E5484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1" w:name="_Toc498331668"/>
      <w:r w:rsidRPr="00972C55">
        <w:rPr>
          <w:rFonts w:ascii="Times New Roman" w:eastAsia="Times New Roman" w:hAnsi="Times New Roman" w:cs="Times New Roman"/>
          <w:b/>
          <w:sz w:val="24"/>
          <w:szCs w:val="24"/>
        </w:rPr>
        <w:t xml:space="preserve">2.4 </w:t>
      </w:r>
      <w:r w:rsidR="00E54848" w:rsidRPr="00972C55">
        <w:rPr>
          <w:rFonts w:ascii="Times New Roman" w:eastAsia="Times New Roman" w:hAnsi="Times New Roman" w:cs="Times New Roman"/>
          <w:b/>
          <w:sz w:val="24"/>
          <w:szCs w:val="24"/>
        </w:rPr>
        <w:t>Сведения о создании условий социализации и самореализации молодежи (в том числе лиц, обучающихся по уровням и видам образования)</w:t>
      </w:r>
      <w:bookmarkEnd w:id="21"/>
    </w:p>
    <w:p w:rsidR="00E54848" w:rsidRPr="00972C55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72C55">
        <w:rPr>
          <w:rFonts w:ascii="Times New Roman" w:eastAsia="Times New Roman" w:hAnsi="Times New Roman" w:cs="Times New Roman"/>
          <w:sz w:val="24"/>
        </w:rPr>
        <w:t>Важным показателем, определяющим доступность образования,  является удельный вес населения в возрасте 5-18 лет, охваченного образованием, в общей численности населения в возрасте 5-18 лет</w:t>
      </w:r>
      <w:r w:rsidR="00AB1C78" w:rsidRPr="00972C55">
        <w:rPr>
          <w:rFonts w:ascii="Times New Roman" w:eastAsia="Times New Roman" w:hAnsi="Times New Roman" w:cs="Times New Roman"/>
          <w:sz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1276"/>
        <w:gridCol w:w="1417"/>
        <w:gridCol w:w="1134"/>
      </w:tblGrid>
      <w:tr w:rsidR="00AB1C78" w:rsidRPr="00972C55" w:rsidTr="00346045">
        <w:tc>
          <w:tcPr>
            <w:tcW w:w="5495" w:type="dxa"/>
          </w:tcPr>
          <w:p w:rsidR="00AB1C78" w:rsidRPr="00972C55" w:rsidRDefault="00AB1C78" w:rsidP="00E5484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AB1C78" w:rsidRPr="00972C55" w:rsidRDefault="00AB1C78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417" w:type="dxa"/>
          </w:tcPr>
          <w:p w:rsidR="00AB1C78" w:rsidRPr="00972C55" w:rsidRDefault="00AB1C78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134" w:type="dxa"/>
          </w:tcPr>
          <w:p w:rsidR="00AB1C78" w:rsidRPr="00972C55" w:rsidRDefault="00AB1C78" w:rsidP="00E548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AB1C78" w:rsidRPr="00972C55" w:rsidTr="00346045">
        <w:tc>
          <w:tcPr>
            <w:tcW w:w="5495" w:type="dxa"/>
          </w:tcPr>
          <w:p w:rsidR="00AB1C78" w:rsidRPr="00972C55" w:rsidRDefault="00AB1C78" w:rsidP="00E548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удельный вес населения в возрасте 5-18 лет,  охваченного образованием, в общей численности  населения в возрасте 5-18 лет, %</w:t>
            </w:r>
          </w:p>
        </w:tc>
        <w:tc>
          <w:tcPr>
            <w:tcW w:w="1276" w:type="dxa"/>
          </w:tcPr>
          <w:p w:rsidR="00AB1C78" w:rsidRPr="00972C55" w:rsidRDefault="00AB1C78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92,2</w:t>
            </w:r>
          </w:p>
        </w:tc>
        <w:tc>
          <w:tcPr>
            <w:tcW w:w="1417" w:type="dxa"/>
          </w:tcPr>
          <w:p w:rsidR="00AB1C78" w:rsidRPr="00972C55" w:rsidRDefault="00AB1C78" w:rsidP="00AB1C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2C55">
              <w:rPr>
                <w:rFonts w:ascii="Times New Roman" w:eastAsia="Times New Roman" w:hAnsi="Times New Roman" w:cs="Times New Roman"/>
                <w:sz w:val="24"/>
              </w:rPr>
              <w:t>92,2</w:t>
            </w:r>
          </w:p>
        </w:tc>
        <w:tc>
          <w:tcPr>
            <w:tcW w:w="1134" w:type="dxa"/>
          </w:tcPr>
          <w:p w:rsidR="00AB1C78" w:rsidRPr="00972C55" w:rsidRDefault="009531AF" w:rsidP="00972C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93,7</w:t>
            </w:r>
          </w:p>
        </w:tc>
      </w:tr>
    </w:tbl>
    <w:p w:rsidR="001D12E6" w:rsidRPr="00972C55" w:rsidRDefault="001D12E6" w:rsidP="00605473">
      <w:pPr>
        <w:spacing w:line="360" w:lineRule="auto"/>
      </w:pPr>
    </w:p>
    <w:p w:rsidR="00155B78" w:rsidRPr="004418BB" w:rsidRDefault="00155B78" w:rsidP="00155B78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bookmarkStart w:id="22" w:name="_Toc498331669"/>
      <w:r w:rsidRPr="004418BB">
        <w:rPr>
          <w:rFonts w:ascii="Times New Roman" w:eastAsia="Times New Roman" w:hAnsi="Times New Roman" w:cs="Times New Roman"/>
          <w:b/>
          <w:sz w:val="28"/>
          <w:szCs w:val="26"/>
        </w:rPr>
        <w:t>3. Выводы и заключения</w:t>
      </w:r>
      <w:bookmarkEnd w:id="22"/>
    </w:p>
    <w:p w:rsidR="00155B78" w:rsidRPr="00155B78" w:rsidRDefault="00155B78" w:rsidP="00155B7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23" w:name="_Toc498331670"/>
      <w:r w:rsidRPr="004418BB">
        <w:rPr>
          <w:rFonts w:ascii="Times New Roman" w:eastAsia="Times New Roman" w:hAnsi="Times New Roman" w:cs="Times New Roman"/>
          <w:b/>
          <w:sz w:val="24"/>
          <w:szCs w:val="24"/>
        </w:rPr>
        <w:t>3.1. Выводы</w:t>
      </w:r>
      <w:bookmarkEnd w:id="23"/>
    </w:p>
    <w:p w:rsidR="00155B78" w:rsidRDefault="00155B78" w:rsidP="00155B78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155B78">
        <w:rPr>
          <w:rFonts w:ascii="Times New Roman" w:eastAsia="Times New Roman" w:hAnsi="Times New Roman" w:cs="Times New Roman"/>
          <w:sz w:val="24"/>
        </w:rPr>
        <w:t xml:space="preserve">Возвращаясь к задачам, которые стояли перед системой образования </w:t>
      </w:r>
      <w:proofErr w:type="spellStart"/>
      <w:r w:rsidRPr="00155B78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155B78">
        <w:rPr>
          <w:rFonts w:ascii="Times New Roman" w:eastAsia="Times New Roman" w:hAnsi="Times New Roman" w:cs="Times New Roman"/>
          <w:sz w:val="24"/>
        </w:rPr>
        <w:t xml:space="preserve"> района можно отметить следующее</w:t>
      </w:r>
      <w:r w:rsidR="00E54848">
        <w:rPr>
          <w:rFonts w:ascii="Times New Roman" w:eastAsia="Times New Roman" w:hAnsi="Times New Roman" w:cs="Times New Roman"/>
          <w:sz w:val="24"/>
        </w:rPr>
        <w:t xml:space="preserve"> </w:t>
      </w:r>
    </w:p>
    <w:p w:rsidR="00E54848" w:rsidRPr="004418BB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418BB">
        <w:rPr>
          <w:rFonts w:ascii="Times New Roman" w:eastAsia="Times New Roman" w:hAnsi="Times New Roman" w:cs="Times New Roman"/>
          <w:sz w:val="24"/>
        </w:rPr>
        <w:t xml:space="preserve">В </w:t>
      </w:r>
      <w:proofErr w:type="spellStart"/>
      <w:r w:rsidRPr="004418BB">
        <w:rPr>
          <w:rFonts w:ascii="Times New Roman" w:eastAsia="Times New Roman" w:hAnsi="Times New Roman" w:cs="Times New Roman"/>
          <w:sz w:val="24"/>
        </w:rPr>
        <w:t>Устьянском</w:t>
      </w:r>
      <w:proofErr w:type="spellEnd"/>
      <w:r w:rsidRPr="004418BB">
        <w:rPr>
          <w:rFonts w:ascii="Times New Roman" w:eastAsia="Times New Roman" w:hAnsi="Times New Roman" w:cs="Times New Roman"/>
          <w:sz w:val="24"/>
        </w:rPr>
        <w:t xml:space="preserve"> районе имеется тенденция сокращения численности детей дошкольного и школьного возраста в сельских населенных пунктах. При этом местами в дошкольных образовательных организациях обеспечены все желающие в возрасте от 1,5 до 7 лет. В полной мере удовлетворена потребность в учреждениях и объединени</w:t>
      </w:r>
      <w:r w:rsidR="004418BB" w:rsidRPr="004418BB">
        <w:rPr>
          <w:rFonts w:ascii="Times New Roman" w:eastAsia="Times New Roman" w:hAnsi="Times New Roman" w:cs="Times New Roman"/>
          <w:sz w:val="24"/>
        </w:rPr>
        <w:t>ях дополнительного образования.</w:t>
      </w:r>
    </w:p>
    <w:p w:rsidR="00E54848" w:rsidRPr="00F455B5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455B5">
        <w:rPr>
          <w:rFonts w:ascii="Times New Roman" w:eastAsia="Times New Roman" w:hAnsi="Times New Roman" w:cs="Times New Roman"/>
          <w:sz w:val="24"/>
        </w:rPr>
        <w:lastRenderedPageBreak/>
        <w:t xml:space="preserve">В общеобразовательных учреждениях </w:t>
      </w:r>
      <w:proofErr w:type="spellStart"/>
      <w:r w:rsidRPr="00F455B5">
        <w:rPr>
          <w:rFonts w:ascii="Times New Roman" w:eastAsia="Times New Roman" w:hAnsi="Times New Roman" w:cs="Times New Roman"/>
          <w:sz w:val="24"/>
        </w:rPr>
        <w:t>Устьянского</w:t>
      </w:r>
      <w:proofErr w:type="spellEnd"/>
      <w:r w:rsidRPr="00F455B5">
        <w:rPr>
          <w:rFonts w:ascii="Times New Roman" w:eastAsia="Times New Roman" w:hAnsi="Times New Roman" w:cs="Times New Roman"/>
          <w:sz w:val="24"/>
        </w:rPr>
        <w:t xml:space="preserve"> района опережающими темпами идет введение федеральных государственных образовательных стандартов. В 201</w:t>
      </w:r>
      <w:r w:rsidR="00F455B5" w:rsidRPr="00F455B5">
        <w:rPr>
          <w:rFonts w:ascii="Times New Roman" w:eastAsia="Times New Roman" w:hAnsi="Times New Roman" w:cs="Times New Roman"/>
          <w:sz w:val="24"/>
        </w:rPr>
        <w:t>8</w:t>
      </w:r>
      <w:r w:rsidRPr="00F455B5">
        <w:rPr>
          <w:rFonts w:ascii="Times New Roman" w:eastAsia="Times New Roman" w:hAnsi="Times New Roman" w:cs="Times New Roman"/>
          <w:sz w:val="24"/>
        </w:rPr>
        <w:t xml:space="preserve"> году   </w:t>
      </w:r>
      <w:r w:rsidR="00F455B5" w:rsidRPr="00F455B5">
        <w:rPr>
          <w:rFonts w:ascii="Times New Roman" w:eastAsia="Times New Roman" w:hAnsi="Times New Roman" w:cs="Times New Roman"/>
          <w:sz w:val="24"/>
        </w:rPr>
        <w:t xml:space="preserve">98 </w:t>
      </w:r>
      <w:r w:rsidRPr="00F455B5">
        <w:rPr>
          <w:rFonts w:ascii="Times New Roman" w:eastAsia="Times New Roman" w:hAnsi="Times New Roman" w:cs="Times New Roman"/>
          <w:sz w:val="24"/>
        </w:rPr>
        <w:t xml:space="preserve">% всех учащихся обучаются по ФГОС. </w:t>
      </w:r>
    </w:p>
    <w:p w:rsidR="00E54848" w:rsidRPr="00E54848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F455B5">
        <w:rPr>
          <w:rFonts w:ascii="Times New Roman" w:eastAsia="Times New Roman" w:hAnsi="Times New Roman" w:cs="Times New Roman"/>
          <w:sz w:val="24"/>
        </w:rPr>
        <w:t>Повышается заработная плата работников системы образования</w:t>
      </w:r>
      <w:r w:rsidRPr="00E54848"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E54848" w:rsidRPr="00F94CD1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94CD1">
        <w:rPr>
          <w:rFonts w:ascii="Times New Roman" w:eastAsia="Times New Roman" w:hAnsi="Times New Roman" w:cs="Times New Roman"/>
          <w:sz w:val="24"/>
        </w:rPr>
        <w:t xml:space="preserve">Среди отрицательной динамики следует отметить, что сокращается число воспитанников ДОУ в расчете на одного воспитателя, численность обучающихся по программам общего образования  на одного педагогического работника. </w:t>
      </w:r>
    </w:p>
    <w:p w:rsidR="00E54848" w:rsidRPr="00F94CD1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94CD1">
        <w:rPr>
          <w:rFonts w:ascii="Times New Roman" w:eastAsia="Times New Roman" w:hAnsi="Times New Roman" w:cs="Times New Roman"/>
          <w:sz w:val="24"/>
        </w:rPr>
        <w:t xml:space="preserve">Результаты обучения выпускников 9 и 11 классов остаются </w:t>
      </w:r>
      <w:r w:rsidR="009531AF">
        <w:rPr>
          <w:rFonts w:ascii="Times New Roman" w:eastAsia="Times New Roman" w:hAnsi="Times New Roman" w:cs="Times New Roman"/>
          <w:sz w:val="24"/>
        </w:rPr>
        <w:t>стабильными</w:t>
      </w:r>
      <w:r w:rsidRPr="00F94CD1">
        <w:rPr>
          <w:rFonts w:ascii="Times New Roman" w:eastAsia="Times New Roman" w:hAnsi="Times New Roman" w:cs="Times New Roman"/>
          <w:sz w:val="24"/>
        </w:rPr>
        <w:t xml:space="preserve">. </w:t>
      </w:r>
    </w:p>
    <w:p w:rsidR="00E54848" w:rsidRPr="00F455B5" w:rsidRDefault="00E54848" w:rsidP="00E548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1724A">
        <w:rPr>
          <w:rFonts w:ascii="Times New Roman" w:eastAsia="Times New Roman" w:hAnsi="Times New Roman" w:cs="Times New Roman"/>
          <w:sz w:val="24"/>
        </w:rPr>
        <w:t>Не в полном</w:t>
      </w:r>
      <w:r w:rsidRPr="00F455B5">
        <w:rPr>
          <w:rFonts w:ascii="Times New Roman" w:eastAsia="Times New Roman" w:hAnsi="Times New Roman" w:cs="Times New Roman"/>
          <w:sz w:val="24"/>
        </w:rPr>
        <w:t xml:space="preserve"> объеме выстроена работа по оказанию квалифицированной помощи детям-инвалидам и детям с ОВЗ.</w:t>
      </w:r>
    </w:p>
    <w:p w:rsidR="00E54848" w:rsidRDefault="00E54848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F455B5">
        <w:rPr>
          <w:rFonts w:ascii="Times New Roman" w:eastAsia="Times New Roman" w:hAnsi="Times New Roman" w:cs="Times New Roman"/>
          <w:sz w:val="24"/>
        </w:rPr>
        <w:t>Здания ряда школ требуют капитального ремонта, нуждаются в обновлени</w:t>
      </w:r>
      <w:r w:rsidR="00F1724A">
        <w:rPr>
          <w:rFonts w:ascii="Times New Roman" w:eastAsia="Times New Roman" w:hAnsi="Times New Roman" w:cs="Times New Roman"/>
          <w:sz w:val="24"/>
        </w:rPr>
        <w:t>и материально-технической базы.</w:t>
      </w:r>
    </w:p>
    <w:p w:rsidR="009531AF" w:rsidRDefault="009531AF" w:rsidP="00F172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55B78" w:rsidRPr="00155B78" w:rsidRDefault="00155B78" w:rsidP="00155B78">
      <w:pPr>
        <w:keepNext/>
        <w:keepLines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4" w:name="_Toc498331671"/>
      <w:r w:rsidRPr="00155B78">
        <w:rPr>
          <w:rFonts w:ascii="Times New Roman" w:eastAsia="Times New Roman" w:hAnsi="Times New Roman" w:cs="Times New Roman"/>
          <w:b/>
          <w:sz w:val="24"/>
          <w:szCs w:val="24"/>
        </w:rPr>
        <w:t>3.2. Планы и перспективы развития системы образования</w:t>
      </w:r>
      <w:bookmarkEnd w:id="24"/>
    </w:p>
    <w:p w:rsidR="00155B78" w:rsidRPr="00155B78" w:rsidRDefault="00155B78" w:rsidP="0015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55B78" w:rsidRDefault="00155B78" w:rsidP="00155B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155B78">
        <w:rPr>
          <w:rFonts w:ascii="Times New Roman" w:eastAsia="Times New Roman" w:hAnsi="Times New Roman" w:cs="Times New Roman"/>
          <w:sz w:val="24"/>
        </w:rPr>
        <w:t>Исходя из представленных в отчете данных,  перед системой образования стоит ряд важных задач:</w:t>
      </w:r>
    </w:p>
    <w:p w:rsidR="00E54848" w:rsidRPr="00E54848" w:rsidRDefault="00454C60" w:rsidP="00E5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. Обеспечить выполнение мероприятий Программы «Развитие образования </w:t>
      </w:r>
      <w:proofErr w:type="spellStart"/>
      <w:r w:rsidR="00E54848" w:rsidRPr="00E54848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 района на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E54848" w:rsidRPr="00E54848" w:rsidRDefault="00454C60" w:rsidP="00E5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55B5" w:rsidRPr="00F455B5">
        <w:rPr>
          <w:rFonts w:ascii="Times New Roman" w:eastAsia="Calibri" w:hAnsi="Times New Roman" w:cs="Times New Roman"/>
          <w:sz w:val="24"/>
          <w:szCs w:val="24"/>
        </w:rPr>
        <w:t xml:space="preserve">Обеспечить доступность и качество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</w:t>
      </w:r>
      <w:proofErr w:type="spellStart"/>
      <w:r w:rsidR="00F455B5" w:rsidRPr="00F455B5">
        <w:rPr>
          <w:rFonts w:ascii="Times New Roman" w:eastAsia="Calibri" w:hAnsi="Times New Roman" w:cs="Times New Roman"/>
          <w:sz w:val="24"/>
          <w:szCs w:val="24"/>
        </w:rPr>
        <w:t>Устьянского</w:t>
      </w:r>
      <w:proofErr w:type="spellEnd"/>
      <w:r w:rsidR="00F455B5" w:rsidRPr="00F455B5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proofErr w:type="gramStart"/>
      <w:r w:rsidR="00F455B5" w:rsidRPr="00F455B5">
        <w:rPr>
          <w:rFonts w:ascii="Times New Roman" w:eastAsia="Calibri" w:hAnsi="Times New Roman" w:cs="Times New Roman"/>
          <w:sz w:val="24"/>
          <w:szCs w:val="24"/>
        </w:rPr>
        <w:t>.</w:t>
      </w:r>
      <w:r w:rsidR="00F455B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54848" w:rsidRPr="00E54848" w:rsidRDefault="00454C60" w:rsidP="00E5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>. С</w:t>
      </w:r>
      <w:r w:rsidR="00E54848" w:rsidRPr="00E54848">
        <w:rPr>
          <w:rFonts w:ascii="Times New Roman" w:eastAsia="Calibri" w:hAnsi="Times New Roman" w:cs="Times New Roman"/>
          <w:spacing w:val="-1"/>
          <w:sz w:val="24"/>
          <w:szCs w:val="24"/>
        </w:rPr>
        <w:t>оздать условия  для предоставления качественного образования детям-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>инвалидам, детям с ограниченными возможностями здоровья, в том числе через реализа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softHyphen/>
        <w:t>цию адаптированных образовательных программ и организацию доступной среды.</w:t>
      </w:r>
    </w:p>
    <w:p w:rsidR="00E54848" w:rsidRPr="00E54848" w:rsidRDefault="00454C60" w:rsidP="00E5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. Обновление содержания и форм организации образовательной деятельности </w:t>
      </w:r>
      <w:r w:rsidR="00E54848" w:rsidRPr="00E54848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 сфере дополнительного образования, ориентированного на содействие формированию у 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>подрастающего поколения общественно-гражданской позиции, внедрение эффективных форм работы по выявлению и развитию одаренных детей.</w:t>
      </w:r>
    </w:p>
    <w:p w:rsidR="00E54848" w:rsidRPr="00E54848" w:rsidRDefault="00454C60" w:rsidP="00E548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4848" w:rsidRPr="00F455B5">
        <w:rPr>
          <w:rFonts w:ascii="Times New Roman" w:eastAsia="Calibri" w:hAnsi="Times New Roman" w:cs="Times New Roman"/>
          <w:sz w:val="24"/>
          <w:szCs w:val="24"/>
        </w:rPr>
        <w:t xml:space="preserve">Оптимизация муниципальной сети образовательных организаций и 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>повышение эффективности финансово-хозяйственной деятельности образовательных организаций.</w:t>
      </w:r>
    </w:p>
    <w:p w:rsidR="00F455B5" w:rsidRPr="00F1724A" w:rsidRDefault="00454C60" w:rsidP="00F172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54848" w:rsidRPr="00E54848">
        <w:rPr>
          <w:rFonts w:ascii="Times New Roman" w:eastAsia="Calibri" w:hAnsi="Times New Roman" w:cs="Times New Roman"/>
          <w:sz w:val="24"/>
          <w:szCs w:val="24"/>
        </w:rPr>
        <w:t>. С</w:t>
      </w:r>
      <w:r w:rsidR="00E54848" w:rsidRPr="00E54848">
        <w:rPr>
          <w:rFonts w:ascii="Times New Roman" w:eastAsia="Calibri" w:hAnsi="Times New Roman" w:cs="Times New Roman"/>
          <w:spacing w:val="-3"/>
          <w:sz w:val="24"/>
          <w:szCs w:val="24"/>
        </w:rPr>
        <w:t>оздание условий для повышения качества образования в школах, имеющих низкие об</w:t>
      </w:r>
      <w:r w:rsidR="00E54848" w:rsidRPr="00E54848">
        <w:rPr>
          <w:rFonts w:ascii="Times New Roman" w:eastAsia="Calibri" w:hAnsi="Times New Roman" w:cs="Times New Roman"/>
          <w:spacing w:val="-4"/>
          <w:sz w:val="24"/>
          <w:szCs w:val="24"/>
        </w:rPr>
        <w:t>разовательные результаты, и в школах, работающих в сложных социальных условиях, путем участия в реализации мероприятий Региональной и программы повышения качества образования в общеобразовательных организациях Архангел</w:t>
      </w:r>
      <w:r w:rsidR="009531AF">
        <w:rPr>
          <w:rFonts w:ascii="Times New Roman" w:eastAsia="Calibri" w:hAnsi="Times New Roman" w:cs="Times New Roman"/>
          <w:spacing w:val="-4"/>
          <w:sz w:val="24"/>
          <w:szCs w:val="24"/>
        </w:rPr>
        <w:t>ьской области на 2017 - 2020 гг</w:t>
      </w:r>
      <w:r w:rsidR="00E54848" w:rsidRPr="00E54848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9531AF" w:rsidRDefault="009531AF" w:rsidP="00346045">
      <w:pPr>
        <w:widowControl w:val="0"/>
        <w:autoSpaceDE w:val="0"/>
        <w:autoSpaceDN w:val="0"/>
        <w:adjustRightInd w:val="0"/>
        <w:spacing w:after="150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346045" w:rsidRPr="00346045" w:rsidRDefault="00346045" w:rsidP="00346045">
      <w:pPr>
        <w:widowControl w:val="0"/>
        <w:autoSpaceDE w:val="0"/>
        <w:autoSpaceDN w:val="0"/>
        <w:adjustRightInd w:val="0"/>
        <w:spacing w:after="150"/>
        <w:jc w:val="center"/>
        <w:rPr>
          <w:rFonts w:ascii="Calibri" w:eastAsia="Times New Roman" w:hAnsi="Calibri" w:cs="Times New Roman"/>
          <w:sz w:val="36"/>
          <w:szCs w:val="36"/>
        </w:rPr>
      </w:pPr>
      <w:r w:rsidRPr="00346045">
        <w:rPr>
          <w:rFonts w:ascii="Calibri" w:eastAsia="Times New Roman" w:hAnsi="Calibri" w:cs="Times New Roman"/>
          <w:b/>
          <w:bCs/>
          <w:sz w:val="36"/>
          <w:szCs w:val="36"/>
        </w:rPr>
        <w:lastRenderedPageBreak/>
        <w:t>ПОКАЗАТЕЛИ МОНИТОРИНГА СИСТЕМЫ ОБРАЗОВАНИЯ</w:t>
      </w:r>
    </w:p>
    <w:tbl>
      <w:tblPr>
        <w:tblW w:w="0" w:type="auto"/>
        <w:jc w:val="center"/>
        <w:tblInd w:w="-1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5"/>
        <w:gridCol w:w="2312"/>
        <w:gridCol w:w="69"/>
      </w:tblGrid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Раздел/подраздел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>/показатель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Единица измерения/форма оценки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I. Общее образование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 Сведения о развитии дошкольного 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1.1.1.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детьми):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6,8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3 до 7 лет.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6,8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62,6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возрасте от 3 до 7 лет.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1.1.3.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группы компенсирующей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12,2 человек</w:t>
            </w:r>
          </w:p>
        </w:tc>
      </w:tr>
      <w:tr w:rsidR="00E10F1A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F1A" w:rsidRPr="00346045" w:rsidRDefault="00E10F1A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18 человек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режиме кратковременного пребывания;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0 человек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режиме круглосуточного пребывания.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49 человек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4,2%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95,8%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группы по присмотру и уходу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7,</w:t>
            </w:r>
            <w:r w:rsidR="00E10F1A">
              <w:rPr>
                <w:rFonts w:ascii="Times New Roman" w:eastAsia="Times New Roman" w:hAnsi="Times New Roman" w:cs="Times New Roman"/>
              </w:rPr>
              <w:t>7</w:t>
            </w:r>
            <w:r w:rsidRPr="00346045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воспитатели;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76,3%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старшие воспитатели;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4,5%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музыкальные руководители;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5,8%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инструкторы по физической культуре;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учителя-логопеды;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8%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учителя-дефектологи;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1,3%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педагоги-психологи;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2,2%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социальные педагоги;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0,89%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педагоги-организаторы;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педагоги дополнительного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0,44%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E10F1A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10F1A">
              <w:rPr>
                <w:rFonts w:ascii="Times New Roman" w:eastAsia="Times New Roman" w:hAnsi="Times New Roman" w:cs="Times New Roman"/>
              </w:rPr>
              <w:t>100,1</w:t>
            </w:r>
            <w:r w:rsidR="00346045" w:rsidRPr="0034604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04 кв. метр"/>
              </w:smartTagPr>
              <w:r w:rsidRPr="00346045">
                <w:rPr>
                  <w:rFonts w:ascii="Times New Roman" w:eastAsia="Times New Roman" w:hAnsi="Times New Roman" w:cs="Times New Roman"/>
                </w:rPr>
                <w:t>12,04 кв. метр</w:t>
              </w:r>
            </w:smartTag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61,7%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38,2%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2,3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13,7%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0,75%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слуха;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речи;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зрения;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1,2%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слуха;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речи;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38,4%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зрения;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61,5%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другими ограниченными возможностями здоровья;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1.6. Состояние здоровья лиц, обучающихся по программам дошкольного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1.7.1.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proofErr w:type="gramEnd"/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4418B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 </w:t>
            </w:r>
            <w:r w:rsidR="004418BB" w:rsidRPr="004418BB">
              <w:rPr>
                <w:rFonts w:ascii="Times New Roman" w:eastAsia="Times New Roman" w:hAnsi="Times New Roman" w:cs="Times New Roman"/>
              </w:rPr>
              <w:t xml:space="preserve">186,93тыс. </w:t>
            </w:r>
            <w:proofErr w:type="spellStart"/>
            <w:r w:rsidR="004418BB" w:rsidRPr="004418BB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1.9.1. Удельный вес числа зданий дошкольных образовательных организаций, находящихся в аварийном состоянии, в общем числе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зданий дошкольных образовательных организаций.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A67F5">
              <w:rPr>
                <w:rFonts w:ascii="Times New Roman" w:eastAsia="Times New Roman" w:hAnsi="Times New Roman" w:cs="Times New Roman"/>
              </w:rPr>
              <w:t>6,4%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</w:rPr>
            </w:pPr>
            <w:r w:rsidRPr="00346045">
              <w:rPr>
                <w:rFonts w:ascii="Times New Roman" w:eastAsia="Times New Roman" w:hAnsi="Times New Roman" w:cs="Times New Roman"/>
                <w:b/>
              </w:rPr>
              <w:t>2</w:t>
            </w:r>
            <w:r w:rsidRPr="004418BB">
              <w:rPr>
                <w:rFonts w:ascii="Times New Roman" w:eastAsia="Times New Roman" w:hAnsi="Times New Roman" w:cs="Times New Roman"/>
                <w:b/>
              </w:rPr>
              <w:t>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332</w:t>
            </w:r>
            <w:r w:rsidR="002031E2">
              <w:rPr>
                <w:rFonts w:ascii="Times New Roman" w:eastAsia="Times New Roman" w:hAnsi="Times New Roman" w:cs="Times New Roman"/>
              </w:rPr>
              <w:t>5</w:t>
            </w:r>
            <w:r w:rsidR="00627DC5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27DC5">
              <w:rPr>
                <w:rFonts w:ascii="Times New Roman" w:eastAsia="Times New Roman" w:hAnsi="Times New Roman" w:cs="Times New Roman"/>
              </w:rPr>
              <w:t>97</w:t>
            </w:r>
            <w:r w:rsidR="00627DC5" w:rsidRPr="00627DC5">
              <w:rPr>
                <w:rFonts w:ascii="Times New Roman" w:eastAsia="Times New Roman" w:hAnsi="Times New Roman" w:cs="Times New Roman"/>
              </w:rPr>
              <w:t>,5%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2031E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627DC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2.1.3. Удельный вес численности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58232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2325">
              <w:rPr>
                <w:rFonts w:ascii="Times New Roman" w:eastAsia="Times New Roman" w:hAnsi="Times New Roman" w:cs="Times New Roman"/>
              </w:rPr>
              <w:t>40,5</w:t>
            </w:r>
            <w:r w:rsidR="00627DC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2.1.4. Наполняемость классов по уровням общего образования: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начальное общее образование (1 - 4 классы);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</w:t>
            </w:r>
            <w:r w:rsidR="002031E2">
              <w:rPr>
                <w:rFonts w:ascii="Times New Roman" w:eastAsia="Times New Roman" w:hAnsi="Times New Roman" w:cs="Times New Roman"/>
              </w:rPr>
              <w:t>394</w:t>
            </w:r>
            <w:r w:rsidR="00627DC5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основное общее образование (5 - 9 классы);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</w:t>
            </w:r>
            <w:r w:rsidR="002031E2">
              <w:rPr>
                <w:rFonts w:ascii="Times New Roman" w:eastAsia="Times New Roman" w:hAnsi="Times New Roman" w:cs="Times New Roman"/>
              </w:rPr>
              <w:t>697</w:t>
            </w:r>
            <w:r w:rsidR="00627DC5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среднее общее образование (10 - 11 (12) классы).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</w:t>
            </w:r>
            <w:r w:rsidR="002031E2">
              <w:rPr>
                <w:rFonts w:ascii="Times New Roman" w:eastAsia="Times New Roman" w:hAnsi="Times New Roman" w:cs="Times New Roman"/>
              </w:rPr>
              <w:t>34</w:t>
            </w:r>
            <w:r w:rsidR="00627DC5">
              <w:rPr>
                <w:rFonts w:ascii="Times New Roman" w:eastAsia="Times New Roman" w:hAnsi="Times New Roman" w:cs="Times New Roman"/>
              </w:rPr>
              <w:t xml:space="preserve"> обучающихся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2.1.5. Удельный вес численности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AC57D4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72C5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2.2.1. Удельный вес численности обучающихся в первую смену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4418BB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4418BB">
              <w:rPr>
                <w:rFonts w:ascii="Times New Roman" w:eastAsia="Times New Roman" w:hAnsi="Times New Roman" w:cs="Times New Roman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2031E2" w:rsidP="002031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5</w:t>
            </w:r>
            <w:r w:rsidR="001B36A0" w:rsidRPr="004418B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4418BB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4418BB">
              <w:rPr>
                <w:rFonts w:ascii="Times New Roman" w:eastAsia="Times New Roman" w:hAnsi="Times New Roman" w:cs="Times New Roman"/>
              </w:rPr>
              <w:t xml:space="preserve">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18BB" w:rsidRDefault="001B36A0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63%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2.2.4. 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 &lt;****&gt;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A0496B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0496B">
              <w:rPr>
                <w:rFonts w:ascii="Times New Roman" w:eastAsia="Times New Roman" w:hAnsi="Times New Roman" w:cs="Times New Roman"/>
              </w:rPr>
              <w:t>1,3</w:t>
            </w:r>
            <w:r w:rsidR="00346045" w:rsidRPr="00A0496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2.3.1. Численность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1B36A0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1B36A0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B36A0">
              <w:rPr>
                <w:rFonts w:ascii="Times New Roman" w:eastAsia="Times New Roman" w:hAnsi="Times New Roman" w:cs="Times New Roman"/>
              </w:rPr>
              <w:t>34,8%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субъекте Российской Федерации: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педагогических работников - всего;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из них учителей.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33,35%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2.3.5. Удельный вес числа организаций, имеющих в составе педагогических работников социальных педагогов, педагого</w:t>
            </w:r>
            <w:proofErr w:type="gramStart"/>
            <w:r w:rsidRPr="009A4D02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9A4D02">
              <w:rPr>
                <w:rFonts w:ascii="Times New Roman" w:eastAsia="Times New Roman" w:hAnsi="Times New Roman" w:cs="Times New Roman"/>
              </w:rPr>
              <w:t xml:space="preserve">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социальных педагогов: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57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из них в штате;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57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педагогов-психологов: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28,6%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из них в штате;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28,6%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учителей-логопедов: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0,1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из них в штате.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EA67F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0,1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2BAB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442BAB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65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lastRenderedPageBreak/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7,19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5,92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9A4D02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71</w:t>
            </w:r>
            <w:r w:rsidR="00346045" w:rsidRPr="009A4D0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57,1%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76,9%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4418BB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4418BB">
              <w:rPr>
                <w:rFonts w:ascii="Times New Roman" w:eastAsia="Times New Roman" w:hAnsi="Times New Roman" w:cs="Times New Roman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0%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4418BB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4418BB">
              <w:rPr>
                <w:rFonts w:ascii="Times New Roman" w:eastAsia="Times New Roman" w:hAnsi="Times New Roman" w:cs="Times New Roman"/>
              </w:rPr>
              <w:t xml:space="preserve"> обучающихся по адаптированным основным общеобразовательным программам.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6%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глухих;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слабослышащих и позднооглохших;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0,06%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слепых;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для слабовидящих;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тяжелыми нарушениями речи;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1,8%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0,7%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0,03%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 умственной отсталостью (интеллектуальными нарушениями).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43665">
              <w:rPr>
                <w:rFonts w:ascii="Times New Roman" w:eastAsia="Times New Roman" w:hAnsi="Times New Roman" w:cs="Times New Roman"/>
              </w:rPr>
              <w:t>0,1%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2.5.6. Численность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по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учителя-дефектолога;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 xml:space="preserve"> 0 человек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учителя-логопеда;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0,0003 человек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418BB">
              <w:rPr>
                <w:rFonts w:ascii="Times New Roman" w:eastAsia="Times New Roman" w:hAnsi="Times New Roman" w:cs="Times New Roman"/>
              </w:rPr>
              <w:t>педагога-психолога;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4418BB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418BB">
              <w:rPr>
                <w:rFonts w:ascii="Times New Roman" w:hAnsi="Times New Roman"/>
              </w:rPr>
              <w:t>0,001 человека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46045">
              <w:rPr>
                <w:rFonts w:ascii="Times New Roman" w:eastAsia="Times New Roman" w:hAnsi="Times New Roman" w:cs="Times New Roman"/>
              </w:rPr>
              <w:t>тьютора</w:t>
            </w:r>
            <w:proofErr w:type="spellEnd"/>
            <w:r w:rsidRPr="00346045">
              <w:rPr>
                <w:rFonts w:ascii="Times New Roman" w:eastAsia="Times New Roman" w:hAnsi="Times New Roman" w:cs="Times New Roman"/>
              </w:rPr>
              <w:t>, ассистента (помощника).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0 человек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100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математике;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1436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русскому языку.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2.6.3. Среднее значение количества баллов по государственной итоговой аттестации, полученных выпускниками, освоившими образовательные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программы основного общего образования: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по математике;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,3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русскому языку. &lt;*&gt;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1436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2.6.4. Удельный вес численности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34604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основного общего образования;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1436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43665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010EBE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282865" w:rsidRDefault="00010EBE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BE" w:rsidRPr="00282865" w:rsidRDefault="00010EBE" w:rsidP="00E10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82865">
              <w:rPr>
                <w:rFonts w:ascii="Times New Roman" w:hAnsi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46045"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 w:rsidRPr="00346045">
              <w:rPr>
                <w:rFonts w:ascii="Times New Roman" w:eastAsia="Times New Roman" w:hAnsi="Times New Roman" w:cs="Times New Roman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87</w:t>
            </w:r>
            <w:r w:rsidR="0058232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58232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2325">
              <w:rPr>
                <w:rFonts w:ascii="Times New Roman" w:eastAsia="Times New Roman" w:hAnsi="Times New Roman" w:cs="Times New Roman"/>
              </w:rPr>
              <w:t>7%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92,8</w:t>
            </w:r>
            <w:r w:rsidR="0058232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282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 xml:space="preserve"> </w:t>
            </w:r>
            <w:r w:rsidR="00282865" w:rsidRPr="00282865">
              <w:rPr>
                <w:rFonts w:ascii="Times New Roman" w:eastAsia="Times New Roman" w:hAnsi="Times New Roman" w:cs="Times New Roman"/>
              </w:rPr>
              <w:t>147,37</w:t>
            </w:r>
            <w:r w:rsidRPr="00282865">
              <w:rPr>
                <w:rFonts w:ascii="Times New Roman" w:eastAsia="Times New Roman" w:hAnsi="Times New Roman" w:cs="Times New Roman"/>
              </w:rPr>
              <w:t xml:space="preserve"> тысяч  рублей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2828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</w:t>
            </w:r>
            <w:r w:rsidR="00282865">
              <w:rPr>
                <w:rFonts w:ascii="Times New Roman" w:eastAsia="Times New Roman" w:hAnsi="Times New Roman" w:cs="Times New Roman"/>
              </w:rPr>
              <w:t>7,6%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</w:t>
            </w:r>
            <w:r w:rsidR="00803CD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9A4D02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A4D02">
              <w:rPr>
                <w:rFonts w:ascii="Times New Roman" w:eastAsia="Times New Roman" w:hAnsi="Times New Roman" w:cs="Times New Roman"/>
              </w:rPr>
              <w:t>21,4%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28286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III. Дополнительное образование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</w:t>
            </w: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детей в возрасте от 5 до 18 лет).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lastRenderedPageBreak/>
              <w:t xml:space="preserve"> 78%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5.1.2. Структура численности детей, обучающихся по дополнительным общеобразовательным программам, по направлениям &lt;*&gt;: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техническое;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естественнонаучное;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42BE5">
              <w:rPr>
                <w:rFonts w:ascii="Times New Roman" w:eastAsia="Times New Roman" w:hAnsi="Times New Roman" w:cs="Times New Roman"/>
              </w:rPr>
              <w:t>,2%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туристско-краеведческое;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социально-педагогическое;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27,6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области искусств: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предпрофессиональным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области физической культуры и спорта: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Pr="00742BE5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 предпрофессиональным программам.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5.1.4. 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5.2.1. Удельный вес численности детей с ограниченными возможностями здоровья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0,5%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 xml:space="preserve">5.2.2. Удельный вес численности детей-инвалидов в общей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численности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0,07%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90%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внешние совместители.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12%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 организациях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5.3.4. Удельный вес численности педагогических работников в возрасте </w:t>
            </w:r>
            <w:proofErr w:type="gramStart"/>
            <w:r w:rsidRPr="00346045">
              <w:rPr>
                <w:rFonts w:ascii="Times New Roman" w:eastAsia="Times New Roman" w:hAnsi="Times New Roman" w:cs="Times New Roman"/>
              </w:rPr>
              <w:t>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34604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5,41 квадратный метр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lastRenderedPageBreak/>
              <w:t>водопровод;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 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центральное отопление;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канализацию;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пожарную сигнализацию;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 xml:space="preserve">дымовые </w:t>
            </w:r>
            <w:proofErr w:type="spellStart"/>
            <w:r w:rsidRPr="00346045">
              <w:rPr>
                <w:rFonts w:ascii="Times New Roman" w:eastAsia="Times New Roman" w:hAnsi="Times New Roman" w:cs="Times New Roman"/>
              </w:rPr>
              <w:t>извещатели</w:t>
            </w:r>
            <w:proofErr w:type="spellEnd"/>
            <w:r w:rsidRPr="00346045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пожарные краны и рукава;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системы видеонаблюдения;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"тревожную кнопку".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742BE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42BE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всего;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1,5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1,04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28286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82865">
              <w:rPr>
                <w:rFonts w:ascii="Times New Roman" w:eastAsia="Times New Roman" w:hAnsi="Times New Roman" w:cs="Times New Roman"/>
              </w:rPr>
              <w:t>14,77</w:t>
            </w:r>
            <w:r w:rsidR="00346045" w:rsidRPr="00282865">
              <w:rPr>
                <w:rFonts w:ascii="Times New Roman" w:eastAsia="Times New Roman" w:hAnsi="Times New Roman" w:cs="Times New Roman"/>
              </w:rPr>
              <w:t xml:space="preserve"> тысяч рублей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346045" w:rsidRPr="00346045" w:rsidTr="00010EBE">
        <w:trPr>
          <w:gridAfter w:val="1"/>
          <w:wAfter w:w="69" w:type="dxa"/>
          <w:jc w:val="center"/>
        </w:trPr>
        <w:tc>
          <w:tcPr>
            <w:tcW w:w="6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045" w:rsidRPr="00346045" w:rsidRDefault="00346045" w:rsidP="0034604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6045"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:rsidR="00346045" w:rsidRPr="00346045" w:rsidRDefault="00346045" w:rsidP="003460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46045">
        <w:rPr>
          <w:rFonts w:ascii="Times New Roman" w:eastAsia="Times New Roman" w:hAnsi="Times New Roman" w:cs="Times New Roman"/>
        </w:rPr>
        <w:t>--------------------</w:t>
      </w:r>
    </w:p>
    <w:p w:rsidR="00346045" w:rsidRPr="00346045" w:rsidRDefault="00346045" w:rsidP="00346045"/>
    <w:p w:rsidR="00155B78" w:rsidRDefault="00155B78" w:rsidP="00155B78">
      <w:pPr>
        <w:spacing w:line="360" w:lineRule="auto"/>
      </w:pPr>
    </w:p>
    <w:sectPr w:rsidR="00155B78" w:rsidSect="00BF0301">
      <w:footerReference w:type="default" r:id="rId32"/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C8" w:rsidRDefault="00250AC8" w:rsidP="00D6388B">
      <w:pPr>
        <w:spacing w:after="0" w:line="240" w:lineRule="auto"/>
      </w:pPr>
      <w:r>
        <w:separator/>
      </w:r>
    </w:p>
  </w:endnote>
  <w:endnote w:type="continuationSeparator" w:id="0">
    <w:p w:rsidR="00250AC8" w:rsidRDefault="00250AC8" w:rsidP="00D6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530298"/>
      <w:docPartObj>
        <w:docPartGallery w:val="Page Numbers (Bottom of Page)"/>
        <w:docPartUnique/>
      </w:docPartObj>
    </w:sdtPr>
    <w:sdtContent>
      <w:p w:rsidR="00D75B05" w:rsidRDefault="00D75B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6D0">
          <w:rPr>
            <w:noProof/>
          </w:rPr>
          <w:t>1</w:t>
        </w:r>
        <w:r>
          <w:fldChar w:fldCharType="end"/>
        </w:r>
      </w:p>
    </w:sdtContent>
  </w:sdt>
  <w:p w:rsidR="00D75B05" w:rsidRDefault="00D75B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C8" w:rsidRDefault="00250AC8" w:rsidP="00D6388B">
      <w:pPr>
        <w:spacing w:after="0" w:line="240" w:lineRule="auto"/>
      </w:pPr>
      <w:r>
        <w:separator/>
      </w:r>
    </w:p>
  </w:footnote>
  <w:footnote w:type="continuationSeparator" w:id="0">
    <w:p w:rsidR="00250AC8" w:rsidRDefault="00250AC8" w:rsidP="00D6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EC2"/>
    <w:multiLevelType w:val="hybridMultilevel"/>
    <w:tmpl w:val="114E5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F357B"/>
    <w:multiLevelType w:val="hybridMultilevel"/>
    <w:tmpl w:val="31641A0A"/>
    <w:lvl w:ilvl="0" w:tplc="50342A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F1"/>
    <w:rsid w:val="00007261"/>
    <w:rsid w:val="00010EBE"/>
    <w:rsid w:val="000176B0"/>
    <w:rsid w:val="00027D26"/>
    <w:rsid w:val="0003048D"/>
    <w:rsid w:val="000304CE"/>
    <w:rsid w:val="00034A17"/>
    <w:rsid w:val="00034BE9"/>
    <w:rsid w:val="0004028D"/>
    <w:rsid w:val="00042303"/>
    <w:rsid w:val="00061487"/>
    <w:rsid w:val="00065C38"/>
    <w:rsid w:val="000837B2"/>
    <w:rsid w:val="000960B4"/>
    <w:rsid w:val="000A4F9C"/>
    <w:rsid w:val="000B4127"/>
    <w:rsid w:val="000C2405"/>
    <w:rsid w:val="000C69F9"/>
    <w:rsid w:val="000D4ED7"/>
    <w:rsid w:val="001049A9"/>
    <w:rsid w:val="00123545"/>
    <w:rsid w:val="001259DE"/>
    <w:rsid w:val="00131217"/>
    <w:rsid w:val="00131C53"/>
    <w:rsid w:val="001401C3"/>
    <w:rsid w:val="001422A0"/>
    <w:rsid w:val="001530AC"/>
    <w:rsid w:val="00155B78"/>
    <w:rsid w:val="00157624"/>
    <w:rsid w:val="0016569F"/>
    <w:rsid w:val="00177057"/>
    <w:rsid w:val="00177E3B"/>
    <w:rsid w:val="00180E30"/>
    <w:rsid w:val="00183F86"/>
    <w:rsid w:val="001928FD"/>
    <w:rsid w:val="001969EF"/>
    <w:rsid w:val="001B34F2"/>
    <w:rsid w:val="001B36A0"/>
    <w:rsid w:val="001C5A4F"/>
    <w:rsid w:val="001D0EDC"/>
    <w:rsid w:val="001D12E6"/>
    <w:rsid w:val="001D19F6"/>
    <w:rsid w:val="002031E2"/>
    <w:rsid w:val="00203F0D"/>
    <w:rsid w:val="00214B54"/>
    <w:rsid w:val="00220FDE"/>
    <w:rsid w:val="00221556"/>
    <w:rsid w:val="00221DE5"/>
    <w:rsid w:val="00231E39"/>
    <w:rsid w:val="00234BF1"/>
    <w:rsid w:val="00235426"/>
    <w:rsid w:val="002416B3"/>
    <w:rsid w:val="00243477"/>
    <w:rsid w:val="00250AC8"/>
    <w:rsid w:val="00257B15"/>
    <w:rsid w:val="002822D7"/>
    <w:rsid w:val="00282865"/>
    <w:rsid w:val="00297418"/>
    <w:rsid w:val="002A0EAA"/>
    <w:rsid w:val="002B0D9B"/>
    <w:rsid w:val="002C4E02"/>
    <w:rsid w:val="002C4E2C"/>
    <w:rsid w:val="002D41A5"/>
    <w:rsid w:val="002E27F1"/>
    <w:rsid w:val="002F1379"/>
    <w:rsid w:val="002F44D3"/>
    <w:rsid w:val="002F464A"/>
    <w:rsid w:val="002F70A3"/>
    <w:rsid w:val="0030731B"/>
    <w:rsid w:val="003247E4"/>
    <w:rsid w:val="00335937"/>
    <w:rsid w:val="00336CCF"/>
    <w:rsid w:val="00346045"/>
    <w:rsid w:val="00355B8E"/>
    <w:rsid w:val="00363236"/>
    <w:rsid w:val="00363CF3"/>
    <w:rsid w:val="00363F7D"/>
    <w:rsid w:val="00367478"/>
    <w:rsid w:val="00380E0E"/>
    <w:rsid w:val="003821DA"/>
    <w:rsid w:val="003C09F1"/>
    <w:rsid w:val="003C3AE6"/>
    <w:rsid w:val="003C3C34"/>
    <w:rsid w:val="003D52C4"/>
    <w:rsid w:val="003F4307"/>
    <w:rsid w:val="0040018C"/>
    <w:rsid w:val="00416015"/>
    <w:rsid w:val="004230CE"/>
    <w:rsid w:val="00427596"/>
    <w:rsid w:val="004307C7"/>
    <w:rsid w:val="00433B76"/>
    <w:rsid w:val="004418BB"/>
    <w:rsid w:val="00442BAB"/>
    <w:rsid w:val="00446323"/>
    <w:rsid w:val="00454C60"/>
    <w:rsid w:val="004613A3"/>
    <w:rsid w:val="004667B9"/>
    <w:rsid w:val="00497811"/>
    <w:rsid w:val="004A109F"/>
    <w:rsid w:val="004B1C1B"/>
    <w:rsid w:val="004B2639"/>
    <w:rsid w:val="004B281D"/>
    <w:rsid w:val="004B5214"/>
    <w:rsid w:val="004B627F"/>
    <w:rsid w:val="004C2F12"/>
    <w:rsid w:val="004C398D"/>
    <w:rsid w:val="004D20E7"/>
    <w:rsid w:val="004D472C"/>
    <w:rsid w:val="004E01AE"/>
    <w:rsid w:val="004F1260"/>
    <w:rsid w:val="004F19D2"/>
    <w:rsid w:val="004F3715"/>
    <w:rsid w:val="00506B6A"/>
    <w:rsid w:val="00521293"/>
    <w:rsid w:val="0053307F"/>
    <w:rsid w:val="00547B7D"/>
    <w:rsid w:val="00547FCE"/>
    <w:rsid w:val="00555BAF"/>
    <w:rsid w:val="00564AB8"/>
    <w:rsid w:val="00566C70"/>
    <w:rsid w:val="0057391D"/>
    <w:rsid w:val="00574097"/>
    <w:rsid w:val="00577558"/>
    <w:rsid w:val="00582325"/>
    <w:rsid w:val="005A36D8"/>
    <w:rsid w:val="005C610D"/>
    <w:rsid w:val="005F2D16"/>
    <w:rsid w:val="005F50F0"/>
    <w:rsid w:val="006029B6"/>
    <w:rsid w:val="00605473"/>
    <w:rsid w:val="00617E24"/>
    <w:rsid w:val="00627DC5"/>
    <w:rsid w:val="00635770"/>
    <w:rsid w:val="00641BED"/>
    <w:rsid w:val="006424E9"/>
    <w:rsid w:val="00662579"/>
    <w:rsid w:val="00663D7B"/>
    <w:rsid w:val="006A1131"/>
    <w:rsid w:val="006B57C5"/>
    <w:rsid w:val="006C6409"/>
    <w:rsid w:val="006D1A98"/>
    <w:rsid w:val="006D7A96"/>
    <w:rsid w:val="006F5561"/>
    <w:rsid w:val="007057E6"/>
    <w:rsid w:val="00707269"/>
    <w:rsid w:val="00707632"/>
    <w:rsid w:val="00742D91"/>
    <w:rsid w:val="00747C1D"/>
    <w:rsid w:val="00756C86"/>
    <w:rsid w:val="00761A61"/>
    <w:rsid w:val="0077310C"/>
    <w:rsid w:val="00773D9A"/>
    <w:rsid w:val="00783740"/>
    <w:rsid w:val="00783F99"/>
    <w:rsid w:val="00796551"/>
    <w:rsid w:val="00796802"/>
    <w:rsid w:val="007A5E31"/>
    <w:rsid w:val="007A71A7"/>
    <w:rsid w:val="007B1906"/>
    <w:rsid w:val="007C04E5"/>
    <w:rsid w:val="007D2879"/>
    <w:rsid w:val="007D6B49"/>
    <w:rsid w:val="007D71C4"/>
    <w:rsid w:val="007E7984"/>
    <w:rsid w:val="00803CD8"/>
    <w:rsid w:val="0080764C"/>
    <w:rsid w:val="008132B1"/>
    <w:rsid w:val="00816053"/>
    <w:rsid w:val="00824331"/>
    <w:rsid w:val="00833F8C"/>
    <w:rsid w:val="00847BD3"/>
    <w:rsid w:val="00851BE4"/>
    <w:rsid w:val="008526D9"/>
    <w:rsid w:val="00866F0A"/>
    <w:rsid w:val="00874C59"/>
    <w:rsid w:val="00896820"/>
    <w:rsid w:val="008A6E0B"/>
    <w:rsid w:val="008B2155"/>
    <w:rsid w:val="008B6283"/>
    <w:rsid w:val="008C3F62"/>
    <w:rsid w:val="008E373D"/>
    <w:rsid w:val="008E7792"/>
    <w:rsid w:val="008F357C"/>
    <w:rsid w:val="0090017D"/>
    <w:rsid w:val="00900639"/>
    <w:rsid w:val="00905614"/>
    <w:rsid w:val="009213FB"/>
    <w:rsid w:val="00930500"/>
    <w:rsid w:val="00940C92"/>
    <w:rsid w:val="009531AF"/>
    <w:rsid w:val="00963846"/>
    <w:rsid w:val="0097299A"/>
    <w:rsid w:val="00972C55"/>
    <w:rsid w:val="009737C4"/>
    <w:rsid w:val="009744FD"/>
    <w:rsid w:val="00980489"/>
    <w:rsid w:val="00992470"/>
    <w:rsid w:val="009930E0"/>
    <w:rsid w:val="00994FCB"/>
    <w:rsid w:val="009A4D02"/>
    <w:rsid w:val="009B06EE"/>
    <w:rsid w:val="009B5992"/>
    <w:rsid w:val="009D29F7"/>
    <w:rsid w:val="009E4D0C"/>
    <w:rsid w:val="009F0EEC"/>
    <w:rsid w:val="009F1C65"/>
    <w:rsid w:val="009F4348"/>
    <w:rsid w:val="009F44AB"/>
    <w:rsid w:val="009F58E8"/>
    <w:rsid w:val="009F5ED9"/>
    <w:rsid w:val="009F6DE3"/>
    <w:rsid w:val="00A0496B"/>
    <w:rsid w:val="00A17518"/>
    <w:rsid w:val="00A36B24"/>
    <w:rsid w:val="00A9124E"/>
    <w:rsid w:val="00A97D8C"/>
    <w:rsid w:val="00AA353D"/>
    <w:rsid w:val="00AA39D5"/>
    <w:rsid w:val="00AB1C78"/>
    <w:rsid w:val="00AB5007"/>
    <w:rsid w:val="00AB74FE"/>
    <w:rsid w:val="00AC1D94"/>
    <w:rsid w:val="00AC57D4"/>
    <w:rsid w:val="00AF4B24"/>
    <w:rsid w:val="00B01489"/>
    <w:rsid w:val="00B01625"/>
    <w:rsid w:val="00B01670"/>
    <w:rsid w:val="00B261EB"/>
    <w:rsid w:val="00B268DA"/>
    <w:rsid w:val="00B35763"/>
    <w:rsid w:val="00B5276F"/>
    <w:rsid w:val="00B703AD"/>
    <w:rsid w:val="00B70683"/>
    <w:rsid w:val="00B7571C"/>
    <w:rsid w:val="00B82E22"/>
    <w:rsid w:val="00B84F50"/>
    <w:rsid w:val="00B91413"/>
    <w:rsid w:val="00B95CFE"/>
    <w:rsid w:val="00BA498D"/>
    <w:rsid w:val="00BA631A"/>
    <w:rsid w:val="00BB740A"/>
    <w:rsid w:val="00BC400F"/>
    <w:rsid w:val="00BE072E"/>
    <w:rsid w:val="00BE2EBA"/>
    <w:rsid w:val="00BE6AF3"/>
    <w:rsid w:val="00BF0301"/>
    <w:rsid w:val="00BF6991"/>
    <w:rsid w:val="00C03407"/>
    <w:rsid w:val="00C0464E"/>
    <w:rsid w:val="00C06ED0"/>
    <w:rsid w:val="00C079F7"/>
    <w:rsid w:val="00C24515"/>
    <w:rsid w:val="00C45AD5"/>
    <w:rsid w:val="00C62E6F"/>
    <w:rsid w:val="00C6415B"/>
    <w:rsid w:val="00C70ECD"/>
    <w:rsid w:val="00C81F95"/>
    <w:rsid w:val="00C8224F"/>
    <w:rsid w:val="00C97600"/>
    <w:rsid w:val="00CA29B4"/>
    <w:rsid w:val="00CB2B02"/>
    <w:rsid w:val="00CB4069"/>
    <w:rsid w:val="00CB55D1"/>
    <w:rsid w:val="00CC3BF3"/>
    <w:rsid w:val="00CD1131"/>
    <w:rsid w:val="00CE44AD"/>
    <w:rsid w:val="00D0170D"/>
    <w:rsid w:val="00D0567F"/>
    <w:rsid w:val="00D06B03"/>
    <w:rsid w:val="00D13693"/>
    <w:rsid w:val="00D17339"/>
    <w:rsid w:val="00D17995"/>
    <w:rsid w:val="00D253C2"/>
    <w:rsid w:val="00D32143"/>
    <w:rsid w:val="00D62F9F"/>
    <w:rsid w:val="00D6388B"/>
    <w:rsid w:val="00D64CBD"/>
    <w:rsid w:val="00D7038D"/>
    <w:rsid w:val="00D7222A"/>
    <w:rsid w:val="00D75B05"/>
    <w:rsid w:val="00D91DDB"/>
    <w:rsid w:val="00D9323B"/>
    <w:rsid w:val="00DB23EC"/>
    <w:rsid w:val="00DB2AC0"/>
    <w:rsid w:val="00DB64AB"/>
    <w:rsid w:val="00DB690D"/>
    <w:rsid w:val="00DC38AC"/>
    <w:rsid w:val="00DD0BC5"/>
    <w:rsid w:val="00DE1A47"/>
    <w:rsid w:val="00DE20A8"/>
    <w:rsid w:val="00DF5F83"/>
    <w:rsid w:val="00E10F1A"/>
    <w:rsid w:val="00E20B43"/>
    <w:rsid w:val="00E32A7A"/>
    <w:rsid w:val="00E36AA7"/>
    <w:rsid w:val="00E401C1"/>
    <w:rsid w:val="00E4496F"/>
    <w:rsid w:val="00E454D2"/>
    <w:rsid w:val="00E54848"/>
    <w:rsid w:val="00E575D2"/>
    <w:rsid w:val="00E600F5"/>
    <w:rsid w:val="00E74E47"/>
    <w:rsid w:val="00E76664"/>
    <w:rsid w:val="00E86C5A"/>
    <w:rsid w:val="00E91172"/>
    <w:rsid w:val="00E92DEA"/>
    <w:rsid w:val="00E950A4"/>
    <w:rsid w:val="00EA25A5"/>
    <w:rsid w:val="00EA67F5"/>
    <w:rsid w:val="00EB779A"/>
    <w:rsid w:val="00EC66D0"/>
    <w:rsid w:val="00ED0FEA"/>
    <w:rsid w:val="00EE5979"/>
    <w:rsid w:val="00EE7119"/>
    <w:rsid w:val="00F0145D"/>
    <w:rsid w:val="00F1226B"/>
    <w:rsid w:val="00F1724A"/>
    <w:rsid w:val="00F2575E"/>
    <w:rsid w:val="00F32F96"/>
    <w:rsid w:val="00F35845"/>
    <w:rsid w:val="00F42BD1"/>
    <w:rsid w:val="00F4549C"/>
    <w:rsid w:val="00F455B5"/>
    <w:rsid w:val="00F50BFA"/>
    <w:rsid w:val="00F5697E"/>
    <w:rsid w:val="00F615CA"/>
    <w:rsid w:val="00F661B8"/>
    <w:rsid w:val="00F7087F"/>
    <w:rsid w:val="00F7450B"/>
    <w:rsid w:val="00F925ED"/>
    <w:rsid w:val="00F93D18"/>
    <w:rsid w:val="00F94CD1"/>
    <w:rsid w:val="00FA3144"/>
    <w:rsid w:val="00FC1E66"/>
    <w:rsid w:val="00FD6667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F1"/>
    <w:rPr>
      <w:rFonts w:ascii="Tahoma" w:hAnsi="Tahoma" w:cs="Tahoma"/>
      <w:sz w:val="16"/>
      <w:szCs w:val="16"/>
    </w:rPr>
  </w:style>
  <w:style w:type="paragraph" w:customStyle="1" w:styleId="a5">
    <w:name w:val="Назв. рисунков"/>
    <w:basedOn w:val="a"/>
    <w:next w:val="a"/>
    <w:link w:val="a6"/>
    <w:autoRedefine/>
    <w:rsid w:val="00234BF1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. рисунков Знак"/>
    <w:link w:val="a5"/>
    <w:locked/>
    <w:rsid w:val="0023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88B"/>
  </w:style>
  <w:style w:type="paragraph" w:styleId="a9">
    <w:name w:val="footer"/>
    <w:basedOn w:val="a"/>
    <w:link w:val="aa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F1"/>
    <w:rPr>
      <w:rFonts w:ascii="Tahoma" w:hAnsi="Tahoma" w:cs="Tahoma"/>
      <w:sz w:val="16"/>
      <w:szCs w:val="16"/>
    </w:rPr>
  </w:style>
  <w:style w:type="paragraph" w:customStyle="1" w:styleId="a5">
    <w:name w:val="Назв. рисунков"/>
    <w:basedOn w:val="a"/>
    <w:next w:val="a"/>
    <w:link w:val="a6"/>
    <w:autoRedefine/>
    <w:rsid w:val="00234BF1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. рисунков Знак"/>
    <w:link w:val="a5"/>
    <w:locked/>
    <w:rsid w:val="00234B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388B"/>
  </w:style>
  <w:style w:type="paragraph" w:styleId="a9">
    <w:name w:val="footer"/>
    <w:basedOn w:val="a"/>
    <w:link w:val="aa"/>
    <w:uiPriority w:val="99"/>
    <w:unhideWhenUsed/>
    <w:rsid w:val="00D63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9842519685039369E-2"/>
          <c:y val="8.7378640776699032E-2"/>
          <c:w val="0.53858267716535435"/>
          <c:h val="0.8300970873786407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 w="25405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Sheet1!$B$1:$N$1</c:f>
              <c:strCache>
                <c:ptCount val="13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электроэнергия, вода</c:v>
                </c:pt>
                <c:pt idx="4">
                  <c:v>оптовая и розничная торговля</c:v>
                </c:pt>
                <c:pt idx="5">
                  <c:v>гостиницы, рестораны</c:v>
                </c:pt>
                <c:pt idx="6">
                  <c:v>транспорт, связь</c:v>
                </c:pt>
                <c:pt idx="7">
                  <c:v>финансовая деятельность</c:v>
                </c:pt>
                <c:pt idx="8">
                  <c:v>образование</c:v>
                </c:pt>
                <c:pt idx="9">
                  <c:v>здравоохранение</c:v>
                </c:pt>
                <c:pt idx="10">
                  <c:v>операции с недвижимым имуществом</c:v>
                </c:pt>
                <c:pt idx="11">
                  <c:v>государственное управление</c:v>
                </c:pt>
                <c:pt idx="12">
                  <c:v>прочие услуги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14</c:v>
                </c:pt>
                <c:pt idx="1">
                  <c:v>9.3000000000000007</c:v>
                </c:pt>
                <c:pt idx="2">
                  <c:v>4.3</c:v>
                </c:pt>
                <c:pt idx="3">
                  <c:v>3.3</c:v>
                </c:pt>
                <c:pt idx="4">
                  <c:v>16</c:v>
                </c:pt>
                <c:pt idx="5">
                  <c:v>3.7</c:v>
                </c:pt>
                <c:pt idx="6">
                  <c:v>3.7</c:v>
                </c:pt>
                <c:pt idx="7">
                  <c:v>0.7</c:v>
                </c:pt>
                <c:pt idx="8">
                  <c:v>6.7</c:v>
                </c:pt>
                <c:pt idx="9">
                  <c:v>3</c:v>
                </c:pt>
                <c:pt idx="10">
                  <c:v>6</c:v>
                </c:pt>
                <c:pt idx="11">
                  <c:v>12</c:v>
                </c:pt>
                <c:pt idx="12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электроэнергия, вода</c:v>
                </c:pt>
                <c:pt idx="4">
                  <c:v>оптовая и розничная торговля</c:v>
                </c:pt>
                <c:pt idx="5">
                  <c:v>гостиницы, рестораны</c:v>
                </c:pt>
                <c:pt idx="6">
                  <c:v>транспорт, связь</c:v>
                </c:pt>
                <c:pt idx="7">
                  <c:v>финансовая деятельность</c:v>
                </c:pt>
                <c:pt idx="8">
                  <c:v>образование</c:v>
                </c:pt>
                <c:pt idx="9">
                  <c:v>здравоохранение</c:v>
                </c:pt>
                <c:pt idx="10">
                  <c:v>операции с недвижимым имуществом</c:v>
                </c:pt>
                <c:pt idx="11">
                  <c:v>государственное управление</c:v>
                </c:pt>
                <c:pt idx="12">
                  <c:v>прочие услуги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2"/>
            <c:bubble3D val="0"/>
            <c:spPr>
              <a:solidFill>
                <a:srgbClr val="800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строительство</c:v>
                </c:pt>
                <c:pt idx="3">
                  <c:v>электроэнергия, вода</c:v>
                </c:pt>
                <c:pt idx="4">
                  <c:v>оптовая и розничная торговля</c:v>
                </c:pt>
                <c:pt idx="5">
                  <c:v>гостиницы, рестораны</c:v>
                </c:pt>
                <c:pt idx="6">
                  <c:v>транспорт, связь</c:v>
                </c:pt>
                <c:pt idx="7">
                  <c:v>финансовая деятельность</c:v>
                </c:pt>
                <c:pt idx="8">
                  <c:v>образование</c:v>
                </c:pt>
                <c:pt idx="9">
                  <c:v>здравоохранение</c:v>
                </c:pt>
                <c:pt idx="10">
                  <c:v>операции с недвижимым имуществом</c:v>
                </c:pt>
                <c:pt idx="11">
                  <c:v>государственное управление</c:v>
                </c:pt>
                <c:pt idx="12">
                  <c:v>прочие услуги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solidFill>
          <a:srgbClr val="C0C0C0"/>
        </a:solidFill>
        <a:ln w="1270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834645669291334"/>
          <c:y val="1.6990291262135922E-2"/>
          <c:w val="0.34015748031496063"/>
          <c:h val="0.96601941747572817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аварийное состояние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капитальный ремонт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35.71</c:v>
                </c:pt>
                <c:pt idx="2">
                  <c:v>35.700000000000003</c:v>
                </c:pt>
                <c:pt idx="3">
                  <c:v>21.4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8199808"/>
        <c:axId val="268201344"/>
      </c:barChart>
      <c:catAx>
        <c:axId val="26819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201344"/>
        <c:crosses val="autoZero"/>
        <c:auto val="1"/>
        <c:lblAlgn val="ctr"/>
        <c:lblOffset val="100"/>
        <c:noMultiLvlLbl val="0"/>
      </c:catAx>
      <c:valAx>
        <c:axId val="26820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19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549488054607504"/>
          <c:y val="0.42857142857142855"/>
          <c:w val="0.24573378839590443"/>
          <c:h val="0.207792207792207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водопровод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центральное отопление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83</c:v>
                </c:pt>
                <c:pt idx="1">
                  <c:v>87.5</c:v>
                </c:pt>
                <c:pt idx="2">
                  <c:v>87.5</c:v>
                </c:pt>
                <c:pt idx="3">
                  <c:v>87.5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канализация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355776"/>
        <c:axId val="345357312"/>
      </c:barChart>
      <c:catAx>
        <c:axId val="34535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357312"/>
        <c:crosses val="autoZero"/>
        <c:auto val="1"/>
        <c:lblAlgn val="ctr"/>
        <c:lblOffset val="100"/>
        <c:noMultiLvlLbl val="0"/>
      </c:catAx>
      <c:valAx>
        <c:axId val="345357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355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648464163822522"/>
          <c:y val="0.36492890995260663"/>
          <c:w val="0.2713310580204778"/>
          <c:h val="0.341232227488151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3926940639269403E-2"/>
          <c:y val="0.13612565445026178"/>
          <c:w val="0.56925418569254183"/>
          <c:h val="0.66492146596858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компьютеров на 100 обучающихся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21</c:v>
                </c:pt>
                <c:pt idx="2">
                  <c:v>26</c:v>
                </c:pt>
                <c:pt idx="3">
                  <c:v>7.19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поключены к сети Интернет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17</c:v>
                </c:pt>
                <c:pt idx="2">
                  <c:v>21.4</c:v>
                </c:pt>
                <c:pt idx="3">
                  <c:v>21.4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имеют скорость более 1 МБ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</c:v>
                </c:pt>
                <c:pt idx="1">
                  <c:v>57.14</c:v>
                </c:pt>
                <c:pt idx="2">
                  <c:v>64.2</c:v>
                </c:pt>
                <c:pt idx="3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314816"/>
        <c:axId val="345316352"/>
      </c:barChart>
      <c:catAx>
        <c:axId val="34531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316352"/>
        <c:crosses val="autoZero"/>
        <c:auto val="1"/>
        <c:lblAlgn val="ctr"/>
        <c:lblOffset val="100"/>
        <c:noMultiLvlLbl val="0"/>
      </c:catAx>
      <c:valAx>
        <c:axId val="3453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314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87975646879758"/>
          <c:y val="0.24083769633507854"/>
          <c:w val="0.27549467275494671"/>
          <c:h val="0.6282722513089005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имеющих пожарные краны и рукава</c:v>
                </c:pt>
              </c:strCache>
            </c:strRef>
          </c:tx>
          <c:spPr>
            <a:ln w="12654">
              <a:solidFill>
                <a:srgbClr val="000080"/>
              </a:solidFill>
              <a:prstDash val="solid"/>
            </a:ln>
          </c:spPr>
          <c:marker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20.8</c:v>
                </c:pt>
                <c:pt idx="2">
                  <c:v>20.8</c:v>
                </c:pt>
                <c:pt idx="3">
                  <c:v>28.57</c:v>
                </c:pt>
                <c:pt idx="4">
                  <c:v>35.700000000000003</c:v>
                </c:pt>
                <c:pt idx="5">
                  <c:v>35.700000000000003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имеющих дымовые извещатели</c:v>
                </c:pt>
              </c:strCache>
            </c:strRef>
          </c:tx>
          <c:spPr>
            <a:ln w="12654">
              <a:solidFill>
                <a:srgbClr val="FF00FF"/>
              </a:solidFill>
              <a:prstDash val="solid"/>
            </a:ln>
          </c:spPr>
          <c:marker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62.5</c:v>
                </c:pt>
                <c:pt idx="2">
                  <c:v>62.5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имеющих "тревожную кнопку"</c:v>
                </c:pt>
              </c:strCache>
            </c:strRef>
          </c:tx>
          <c:spPr>
            <a:ln w="12654">
              <a:solidFill>
                <a:srgbClr val="FFFF00"/>
              </a:solidFill>
              <a:prstDash val="solid"/>
            </a:ln>
          </c:spPr>
          <c:marker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1">
                  <c:v>21</c:v>
                </c:pt>
                <c:pt idx="2">
                  <c:v>21</c:v>
                </c:pt>
                <c:pt idx="3">
                  <c:v>21.43</c:v>
                </c:pt>
                <c:pt idx="4">
                  <c:v>21.4</c:v>
                </c:pt>
                <c:pt idx="5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имеющих охрану</c:v>
                </c:pt>
              </c:strCache>
            </c:strRef>
          </c:tx>
          <c:spPr>
            <a:ln w="12654">
              <a:solidFill>
                <a:srgbClr val="00FFFF"/>
              </a:solidFill>
              <a:prstDash val="solid"/>
            </a:ln>
          </c:spPr>
          <c:marker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имеющих систему видеонаблюдения</c:v>
                </c:pt>
              </c:strCache>
            </c:strRef>
          </c:tx>
          <c:spPr>
            <a:ln w="12654">
              <a:solidFill>
                <a:srgbClr val="800080"/>
              </a:solidFill>
              <a:prstDash val="solid"/>
            </a:ln>
          </c:spPr>
          <c:marker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Лист1!$A$2:$A$7</c:f>
              <c:numCache>
                <c:formatCode>General</c:formatCode>
                <c:ptCount val="6"/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1">
                  <c:v>8</c:v>
                </c:pt>
                <c:pt idx="2">
                  <c:v>12.5</c:v>
                </c:pt>
                <c:pt idx="3">
                  <c:v>28.57</c:v>
                </c:pt>
                <c:pt idx="4">
                  <c:v>42.8</c:v>
                </c:pt>
                <c:pt idx="5">
                  <c:v>42.8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446656"/>
        <c:axId val="345452928"/>
      </c:lineChart>
      <c:catAx>
        <c:axId val="345446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452928"/>
        <c:crosses val="autoZero"/>
        <c:auto val="1"/>
        <c:lblAlgn val="ctr"/>
        <c:lblOffset val="100"/>
        <c:noMultiLvlLbl val="0"/>
      </c:catAx>
      <c:valAx>
        <c:axId val="345452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44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453924914675769"/>
          <c:y val="0.12041884816753927"/>
          <c:w val="0.28498293515358364"/>
          <c:h val="0.8376963350785340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421487603305812E-2"/>
          <c:y val="0.14285714285714293"/>
          <c:w val="0.59008264462809934"/>
          <c:h val="0.65608465608465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29.6</c:v>
                </c:pt>
                <c:pt idx="1">
                  <c:v>30.6</c:v>
                </c:pt>
                <c:pt idx="2">
                  <c:v>29.9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ОГЭ баллы ниже минимального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404928"/>
        <c:axId val="345406464"/>
      </c:barChart>
      <c:catAx>
        <c:axId val="34540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406464"/>
        <c:crosses val="autoZero"/>
        <c:auto val="1"/>
        <c:lblAlgn val="ctr"/>
        <c:lblOffset val="100"/>
        <c:noMultiLvlLbl val="0"/>
      </c:catAx>
      <c:valAx>
        <c:axId val="34540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404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63527653213751"/>
          <c:y val="0.13089005235602094"/>
          <c:w val="0.29895366218236175"/>
          <c:h val="0.7748691099476440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61538461538463E-2"/>
          <c:y val="0.15204678362573104"/>
          <c:w val="0.5953846153846154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14.8</c:v>
                </c:pt>
                <c:pt idx="1">
                  <c:v>14.6</c:v>
                </c:pt>
                <c:pt idx="2">
                  <c:v>14.3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ОГЭ баллы ниже минимального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1.04</c:v>
                </c:pt>
                <c:pt idx="1">
                  <c:v>0.4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612672"/>
        <c:axId val="345614208"/>
      </c:barChart>
      <c:catAx>
        <c:axId val="34561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614208"/>
        <c:crosses val="autoZero"/>
        <c:auto val="1"/>
        <c:lblAlgn val="ctr"/>
        <c:lblOffset val="100"/>
        <c:noMultiLvlLbl val="0"/>
      </c:catAx>
      <c:valAx>
        <c:axId val="345614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612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"/>
          <c:y val="5.2980132450331126E-2"/>
          <c:w val="0.32769230769230767"/>
          <c:h val="0.9006622516556291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9421487603305812E-2"/>
          <c:y val="0.14285714285714293"/>
          <c:w val="0.59008264462809923"/>
          <c:h val="0.65608465608465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71.7</c:v>
                </c:pt>
                <c:pt idx="1">
                  <c:v>71.2</c:v>
                </c:pt>
                <c:pt idx="2">
                  <c:v>71.2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ЕГЭ баллы ниже минимального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472000"/>
        <c:axId val="345502464"/>
      </c:barChart>
      <c:catAx>
        <c:axId val="3454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502464"/>
        <c:crosses val="autoZero"/>
        <c:auto val="1"/>
        <c:lblAlgn val="ctr"/>
        <c:lblOffset val="100"/>
        <c:noMultiLvlLbl val="0"/>
      </c:catAx>
      <c:valAx>
        <c:axId val="345502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47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107438016528931"/>
          <c:y val="0.12977099236641221"/>
          <c:w val="0.30247933884297523"/>
          <c:h val="0.809160305343511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61538461538463E-2"/>
          <c:y val="0.15204678362573104"/>
          <c:w val="0.5953846153846154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количество баллов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42.3</c:v>
                </c:pt>
                <c:pt idx="1">
                  <c:v>42.3</c:v>
                </c:pt>
                <c:pt idx="2">
                  <c:v>43.6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численности выпускников, получивших на ЕГЭ баллы ниже минимального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158976"/>
        <c:axId val="346160512"/>
      </c:barChart>
      <c:catAx>
        <c:axId val="346158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6160512"/>
        <c:crosses val="autoZero"/>
        <c:auto val="1"/>
        <c:lblAlgn val="ctr"/>
        <c:lblOffset val="100"/>
        <c:noMultiLvlLbl val="0"/>
      </c:catAx>
      <c:valAx>
        <c:axId val="34616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158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70307167235498"/>
          <c:y val="6.1068702290076333E-2"/>
          <c:w val="0.32935153583617749"/>
          <c:h val="0.885496183206106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финансовых средств в расчете на 1 ученика, т.руб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114.4</c:v>
                </c:pt>
                <c:pt idx="1">
                  <c:v>115.6</c:v>
                </c:pt>
                <c:pt idx="2">
                  <c:v>218.11</c:v>
                </c:pt>
                <c:pt idx="3">
                  <c:v>225.26</c:v>
                </c:pt>
                <c:pt idx="4">
                  <c:v>349.07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удельный вес от приносящей доход деятельности, %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5.3</c:v>
                </c:pt>
                <c:pt idx="1">
                  <c:v>8.1999999999999993</c:v>
                </c:pt>
                <c:pt idx="2">
                  <c:v>7.42</c:v>
                </c:pt>
                <c:pt idx="3">
                  <c:v>7.4</c:v>
                </c:pt>
                <c:pt idx="4">
                  <c:v>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624960"/>
        <c:axId val="345626496"/>
      </c:barChart>
      <c:catAx>
        <c:axId val="3456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626496"/>
        <c:crosses val="autoZero"/>
        <c:auto val="1"/>
        <c:lblAlgn val="ctr"/>
        <c:lblOffset val="100"/>
        <c:noMultiLvlLbl val="0"/>
      </c:catAx>
      <c:valAx>
        <c:axId val="34562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562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70307167235498"/>
          <c:y val="0.17880794701986755"/>
          <c:w val="0.32593856655290104"/>
          <c:h val="0.7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8544061302681989E-2"/>
          <c:y val="0.38011695906432746"/>
          <c:w val="0.67624521072796939"/>
          <c:h val="0.39766081871345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79</c:v>
                </c:pt>
                <c:pt idx="1">
                  <c:v>80</c:v>
                </c:pt>
                <c:pt idx="2">
                  <c:v>78</c:v>
                </c:pt>
                <c:pt idx="3">
                  <c:v>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295488"/>
        <c:axId val="388784128"/>
      </c:lineChart>
      <c:catAx>
        <c:axId val="38729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8784128"/>
        <c:crosses val="autoZero"/>
        <c:auto val="1"/>
        <c:lblAlgn val="ctr"/>
        <c:lblOffset val="100"/>
        <c:noMultiLvlLbl val="0"/>
      </c:catAx>
      <c:valAx>
        <c:axId val="38878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7295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5632183908044"/>
          <c:y val="0.60233918128654973"/>
          <c:w val="0.20118016321406151"/>
          <c:h val="0.1339475065616797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375069731303628E-2"/>
          <c:y val="9.3932031730234525E-3"/>
          <c:w val="0.45148260951522545"/>
          <c:h val="0.9865242681096085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chemeClr val="accent1"/>
              </a:solidFill>
              <a:ln w="21227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21227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21227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21227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160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8377">
                <a:noFill/>
              </a:ln>
            </c:spPr>
            <c:txPr>
              <a:bodyPr/>
              <a:lstStyle/>
              <a:p>
                <a:pPr>
                  <a:defRPr sz="1112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воспитатели</c:v>
                </c:pt>
                <c:pt idx="1">
                  <c:v>старшие воспитатели</c:v>
                </c:pt>
                <c:pt idx="2">
                  <c:v>методисты</c:v>
                </c:pt>
                <c:pt idx="3">
                  <c:v>музыкальные работники</c:v>
                </c:pt>
                <c:pt idx="4">
                  <c:v>учителя-логопеды</c:v>
                </c:pt>
                <c:pt idx="5">
                  <c:v>учителя-дефектологи</c:v>
                </c:pt>
                <c:pt idx="6">
                  <c:v>педагоги-психологи</c:v>
                </c:pt>
                <c:pt idx="7">
                  <c:v>социальные педагоги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160</c:v>
                </c:pt>
                <c:pt idx="1">
                  <c:v>12</c:v>
                </c:pt>
                <c:pt idx="2">
                  <c:v>2</c:v>
                </c:pt>
                <c:pt idx="3" formatCode="General">
                  <c:v>12</c:v>
                </c:pt>
                <c:pt idx="4" formatCode="General">
                  <c:v>18</c:v>
                </c:pt>
                <c:pt idx="5" formatCode="General">
                  <c:v>3</c:v>
                </c:pt>
                <c:pt idx="6" formatCode="General">
                  <c:v>5</c:v>
                </c:pt>
                <c:pt idx="7" formatCode="General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8377">
          <a:noFill/>
        </a:ln>
      </c:spPr>
    </c:plotArea>
    <c:legend>
      <c:legendPos val="r"/>
      <c:overlay val="0"/>
      <c:spPr>
        <a:noFill/>
        <a:ln w="28302">
          <a:noFill/>
        </a:ln>
      </c:spPr>
      <c:txPr>
        <a:bodyPr/>
        <a:lstStyle/>
        <a:p>
          <a:pPr>
            <a:defRPr sz="922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106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1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664092664092659E-2"/>
          <c:y val="0.22321428571428573"/>
          <c:w val="0.60553611794000861"/>
          <c:h val="0.606495812227293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62.65</c:v>
                </c:pt>
                <c:pt idx="1">
                  <c:v>60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эколого-биологиечская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2.2999999999999998</c:v>
                </c:pt>
                <c:pt idx="1">
                  <c:v>3.2</c:v>
                </c:pt>
                <c:pt idx="2">
                  <c:v>4.2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туристко-краведеческая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6.1</c:v>
                </c:pt>
                <c:pt idx="1">
                  <c:v>6.8</c:v>
                </c:pt>
                <c:pt idx="2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техническая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10</c:v>
                </c:pt>
                <c:pt idx="2">
                  <c:v>16.7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спортивная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37.35</c:v>
                </c:pt>
                <c:pt idx="1">
                  <c:v>38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955520"/>
        <c:axId val="382957056"/>
      </c:barChart>
      <c:catAx>
        <c:axId val="38295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2957056"/>
        <c:crosses val="autoZero"/>
        <c:auto val="1"/>
        <c:lblAlgn val="ctr"/>
        <c:lblOffset val="100"/>
        <c:noMultiLvlLbl val="0"/>
      </c:catAx>
      <c:valAx>
        <c:axId val="38295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2955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946093276801936"/>
          <c:y val="1.7857580401048706E-2"/>
          <c:w val="0.29053906723198064"/>
          <c:h val="0.910713982799273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990521754109498"/>
          <c:y val="2.0618361101850419E-2"/>
        </c:manualLayout>
      </c:layout>
      <c:overlay val="0"/>
      <c:spPr>
        <a:noFill/>
        <a:ln w="2004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2979127134724851E-2"/>
          <c:y val="0.28865979381443296"/>
          <c:w val="0.5540796963946869"/>
          <c:h val="0.5154639175257731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заработной платы, %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  <c:pt idx="1">
                  <c:v>103.4</c:v>
                </c:pt>
                <c:pt idx="2">
                  <c:v>100</c:v>
                </c:pt>
                <c:pt idx="3">
                  <c:v>104.7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7571968"/>
        <c:axId val="397573504"/>
      </c:lineChart>
      <c:catAx>
        <c:axId val="39757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573504"/>
        <c:crosses val="autoZero"/>
        <c:auto val="1"/>
        <c:lblAlgn val="ctr"/>
        <c:lblOffset val="100"/>
        <c:noMultiLvlLbl val="0"/>
      </c:catAx>
      <c:valAx>
        <c:axId val="397573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57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552180195928935"/>
          <c:y val="0.69587605673505126"/>
          <c:w val="0.30170787862741277"/>
          <c:h val="0.206185779375133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791808873720141E-2"/>
          <c:y val="0.15204678362573099"/>
          <c:w val="0.55631399317406138"/>
          <c:h val="0.6257309941520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компьютеров на 100 обучающихся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</c:v>
                </c:pt>
                <c:pt idx="1">
                  <c:v>1.5</c:v>
                </c:pt>
                <c:pt idx="2">
                  <c:v>1.5</c:v>
                </c:pt>
                <c:pt idx="3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поключены к сети Интернет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0.9</c:v>
                </c:pt>
                <c:pt idx="1">
                  <c:v>1.04</c:v>
                </c:pt>
                <c:pt idx="2">
                  <c:v>1.04</c:v>
                </c:pt>
                <c:pt idx="3">
                  <c:v>1.04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имеют скорость более 1 МБ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12.5</c:v>
                </c:pt>
                <c:pt idx="2">
                  <c:v>57.14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457280"/>
        <c:axId val="397458816"/>
      </c:barChart>
      <c:catAx>
        <c:axId val="39745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458816"/>
        <c:crosses val="autoZero"/>
        <c:auto val="1"/>
        <c:lblAlgn val="ctr"/>
        <c:lblOffset val="100"/>
        <c:noMultiLvlLbl val="0"/>
      </c:catAx>
      <c:valAx>
        <c:axId val="39745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457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064846416382251"/>
          <c:y val="0.30409366368470953"/>
          <c:w val="0.30508834046750866"/>
          <c:h val="0.603316535433070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финансовых средств в расчете на 1 ученика, т.руб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8.6999999999999993</c:v>
                </c:pt>
                <c:pt idx="1">
                  <c:v>15</c:v>
                </c:pt>
                <c:pt idx="2">
                  <c:v>16.8</c:v>
                </c:pt>
                <c:pt idx="3">
                  <c:v>16.8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824768"/>
        <c:axId val="397826304"/>
      </c:barChart>
      <c:catAx>
        <c:axId val="397824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826304"/>
        <c:crosses val="autoZero"/>
        <c:auto val="1"/>
        <c:lblAlgn val="ctr"/>
        <c:lblOffset val="100"/>
        <c:noMultiLvlLbl val="0"/>
      </c:catAx>
      <c:valAx>
        <c:axId val="39782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824768"/>
        <c:crosses val="autoZero"/>
        <c:crossBetween val="between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65870307167235498"/>
          <c:y val="0.17880794701986755"/>
          <c:w val="0.32593856655290104"/>
          <c:h val="0.741721854304635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детей в ДОУ</a:t>
            </a:r>
          </a:p>
        </c:rich>
      </c:tx>
      <c:layout>
        <c:manualLayout>
          <c:xMode val="edge"/>
          <c:yMode val="edge"/>
          <c:x val="0.32149203192604336"/>
          <c:y val="2.0270115242217238E-2"/>
        </c:manualLayout>
      </c:layout>
      <c:overlay val="0"/>
      <c:spPr>
        <a:noFill/>
        <a:ln w="2535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690941385435173E-2"/>
          <c:y val="0.43243243243243246"/>
          <c:w val="0.59147424511545288"/>
          <c:h val="0.310810810810810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1914</c:v>
                </c:pt>
                <c:pt idx="1">
                  <c:v>1883</c:v>
                </c:pt>
                <c:pt idx="2">
                  <c:v>1765</c:v>
                </c:pt>
                <c:pt idx="3">
                  <c:v>1751</c:v>
                </c:pt>
                <c:pt idx="4">
                  <c:v>1716</c:v>
                </c:pt>
                <c:pt idx="5">
                  <c:v>1658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3917056"/>
        <c:axId val="236147072"/>
      </c:lineChart>
      <c:catAx>
        <c:axId val="23391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147072"/>
        <c:crosses val="autoZero"/>
        <c:auto val="1"/>
        <c:lblAlgn val="ctr"/>
        <c:lblOffset val="100"/>
        <c:noMultiLvlLbl val="0"/>
      </c:catAx>
      <c:valAx>
        <c:axId val="2361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917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6891152257845"/>
          <c:y val="0.60135161912707935"/>
          <c:w val="0.26110128725376902"/>
          <c:h val="0.1621623124923954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7637795275590596E-2"/>
          <c:y val="4.3650793650793697E-2"/>
          <c:w val="0.88689924176144652"/>
          <c:h val="0.742035770793045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дошкольным образованием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898" b="1" i="0" u="none" strike="noStrike" baseline="0">
                    <a:solidFill>
                      <a:srgbClr val="333399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90</c:v>
                </c:pt>
                <c:pt idx="2">
                  <c:v>95</c:v>
                </c:pt>
                <c:pt idx="3">
                  <c:v>97</c:v>
                </c:pt>
                <c:pt idx="4">
                  <c:v>95</c:v>
                </c:pt>
                <c:pt idx="5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41595904"/>
        <c:axId val="241597440"/>
      </c:barChart>
      <c:catAx>
        <c:axId val="24159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00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599" b="0" i="0" u="none" strike="noStrike" baseline="0">
                <a:solidFill>
                  <a:srgbClr val="333399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597440"/>
        <c:crosses val="autoZero"/>
        <c:auto val="1"/>
        <c:lblAlgn val="ctr"/>
        <c:lblOffset val="100"/>
        <c:noMultiLvlLbl val="0"/>
      </c:catAx>
      <c:valAx>
        <c:axId val="241597440"/>
        <c:scaling>
          <c:orientation val="minMax"/>
        </c:scaling>
        <c:delete val="0"/>
        <c:axPos val="l"/>
        <c:majorGridlines>
          <c:spPr>
            <a:ln w="95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 sz="893" b="1" i="0" u="none" strike="noStrike" baseline="0">
                    <a:solidFill>
                      <a:srgbClr val="666699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Проценты</a:t>
                </a:r>
              </a:p>
            </c:rich>
          </c:tx>
          <c:overlay val="0"/>
          <c:spPr>
            <a:noFill/>
            <a:ln w="25355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ln w="6334">
            <a:noFill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333399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1595904"/>
        <c:crosses val="autoZero"/>
        <c:crossBetween val="between"/>
      </c:valAx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29516994159513843"/>
          <c:y val="0.87428588970238375"/>
          <c:w val="0.40787117826487906"/>
          <c:h val="0.12571411029761625"/>
        </c:manualLayout>
      </c:layout>
      <c:overlay val="0"/>
      <c:spPr>
        <a:noFill/>
        <a:ln w="25333">
          <a:noFill/>
        </a:ln>
      </c:spPr>
      <c:txPr>
        <a:bodyPr/>
        <a:lstStyle/>
        <a:p>
          <a:pPr>
            <a:defRPr sz="824" b="0" i="0" u="none" strike="noStrike" baseline="0">
              <a:solidFill>
                <a:srgbClr val="333399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00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272727272727274"/>
          <c:y val="1.9108280254777069E-2"/>
        </c:manualLayout>
      </c:layout>
      <c:overlay val="0"/>
      <c:spPr>
        <a:noFill/>
        <a:ln w="25392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545454545454548"/>
          <c:y val="0.34394904458598724"/>
          <c:w val="0.28000000000000003"/>
          <c:h val="0.611464968152866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заболевания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cat>
            <c:strRef>
              <c:f>Лист1!$A$2:$A$3</c:f>
              <c:strCache>
                <c:ptCount val="2"/>
                <c:pt idx="0">
                  <c:v>ТНР</c:v>
                </c:pt>
                <c:pt idx="1">
                  <c:v>ЗПР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69.33</c:v>
                </c:pt>
                <c:pt idx="1">
                  <c:v>30.67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90363636363636368"/>
          <c:y val="0.5286624203821656"/>
          <c:w val="0.08"/>
          <c:h val="0.3057324840764331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Общий объем финансовых средств на дошкольное образование в расчете на одного воспитанника</a:t>
            </a:r>
          </a:p>
        </c:rich>
      </c:tx>
      <c:layout>
        <c:manualLayout>
          <c:xMode val="edge"/>
          <c:yMode val="edge"/>
          <c:x val="0.14065266841644794"/>
          <c:y val="0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Лист1!$A$1:$A$2</c:f>
              <c:strCache>
                <c:ptCount val="2"/>
                <c:pt idx="0">
                  <c:v>2017 г.</c:v>
                </c:pt>
                <c:pt idx="1">
                  <c:v>2018 г.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154.6</c:v>
                </c:pt>
                <c:pt idx="1">
                  <c:v>186.93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617152"/>
        <c:axId val="268206080"/>
      </c:barChart>
      <c:catAx>
        <c:axId val="241617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68206080"/>
        <c:crosses val="autoZero"/>
        <c:auto val="1"/>
        <c:lblAlgn val="ctr"/>
        <c:lblOffset val="100"/>
        <c:noMultiLvlLbl val="0"/>
      </c:catAx>
      <c:valAx>
        <c:axId val="26820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61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739463601532569"/>
          <c:y val="1.7543859649122806E-2"/>
        </c:manualLayout>
      </c:layout>
      <c:overlay val="0"/>
      <c:spPr>
        <a:noFill/>
        <a:ln w="2531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701149425287362E-2"/>
          <c:y val="0.38011695906432746"/>
          <c:w val="0.65708812260536398"/>
          <c:h val="0.397660818713450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детей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98</c:v>
                </c:pt>
                <c:pt idx="2">
                  <c:v>97</c:v>
                </c:pt>
                <c:pt idx="3">
                  <c:v>97</c:v>
                </c:pt>
                <c:pt idx="4">
                  <c:v>97.5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226944"/>
        <c:axId val="268228480"/>
      </c:lineChart>
      <c:catAx>
        <c:axId val="26822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8228480"/>
        <c:crosses val="autoZero"/>
        <c:auto val="1"/>
        <c:lblAlgn val="ctr"/>
        <c:lblOffset val="100"/>
        <c:noMultiLvlLbl val="0"/>
      </c:catAx>
      <c:valAx>
        <c:axId val="268228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8226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5632183908044"/>
          <c:y val="0.60233918128654973"/>
          <c:w val="0.2049808429118774"/>
          <c:h val="0.140350877192982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959641255605385E-2"/>
          <c:y val="7.3394495412844041E-2"/>
          <c:w val="0.67488789237668156"/>
          <c:h val="0.68348623853211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1-4 класс</c:v>
                </c:pt>
              </c:strCache>
            </c:strRef>
          </c:tx>
          <c:spPr>
            <a:solidFill>
              <a:srgbClr val="9999FF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класс</c:v>
                </c:pt>
              </c:strCache>
            </c:strRef>
          </c:tx>
          <c:spPr>
            <a:solidFill>
              <a:srgbClr val="993366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98.7</c:v>
                </c:pt>
                <c:pt idx="1">
                  <c:v>1.3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класс</c:v>
                </c:pt>
              </c:strCache>
            </c:strRef>
          </c:tx>
          <c:spPr>
            <a:solidFill>
              <a:srgbClr val="FFFFCC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2"/>
                <c:pt idx="0">
                  <c:v>ФГОС</c:v>
                </c:pt>
                <c:pt idx="1">
                  <c:v>ФБУП 2004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5820544"/>
        <c:axId val="275822080"/>
        <c:axId val="0"/>
      </c:bar3DChart>
      <c:catAx>
        <c:axId val="27582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822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5822080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820544"/>
        <c:crosses val="autoZero"/>
        <c:crossBetween val="between"/>
      </c:valAx>
      <c:spPr>
        <a:noFill/>
        <a:ln w="25445">
          <a:noFill/>
        </a:ln>
      </c:spPr>
    </c:plotArea>
    <c:legend>
      <c:legendPos val="r"/>
      <c:layout>
        <c:manualLayout>
          <c:xMode val="edge"/>
          <c:yMode val="edge"/>
          <c:x val="0.78251121076233188"/>
          <c:y val="0.35321100917431192"/>
          <c:w val="0.2085201793721973"/>
          <c:h val="0.29357798165137616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87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325068870523416"/>
          <c:y val="7.5313807531380755E-2"/>
          <c:w val="0.66666666666666663"/>
          <c:h val="0.769874476987447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101.8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2">
                  <c:v>100.1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5971072"/>
        <c:axId val="276005632"/>
        <c:axId val="0"/>
      </c:bar3DChart>
      <c:catAx>
        <c:axId val="27597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6005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6005632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75971072"/>
        <c:crosses val="autoZero"/>
        <c:crossBetween val="between"/>
      </c:valAx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84022038567493118"/>
          <c:y val="0.35983263598326359"/>
          <c:w val="0.1487603305785124"/>
          <c:h val="0.28033472803347281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44</Pages>
  <Words>10686</Words>
  <Characters>60912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2019-10-24T12:37:00Z</cp:lastPrinted>
  <dcterms:created xsi:type="dcterms:W3CDTF">2019-10-24T09:38:00Z</dcterms:created>
  <dcterms:modified xsi:type="dcterms:W3CDTF">2019-10-25T06:54:00Z</dcterms:modified>
</cp:coreProperties>
</file>